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24" w:rsidRDefault="00F66F24">
      <w:pPr>
        <w:ind w:left="567"/>
        <w:jc w:val="center"/>
        <w:rPr>
          <w:rFonts w:ascii="Times New Roman" w:eastAsia="Times New Roman" w:hAnsi="Times New Roman"/>
          <w:b/>
          <w:color w:val="000000" w:themeColor="text1"/>
          <w:sz w:val="24"/>
          <w:szCs w:val="24"/>
        </w:rPr>
      </w:pPr>
    </w:p>
    <w:p w:rsidR="00F66F24" w:rsidRPr="00B94B62" w:rsidRDefault="00CC24CB" w:rsidP="008A6787">
      <w:pPr>
        <w:jc w:val="center"/>
        <w:rPr>
          <w:rFonts w:ascii="Times New Roman" w:eastAsia="Times New Roman" w:hAnsi="Times New Roman"/>
          <w:b/>
          <w:color w:val="000000" w:themeColor="text1"/>
          <w:sz w:val="28"/>
          <w:szCs w:val="28"/>
        </w:rPr>
      </w:pPr>
      <w:r w:rsidRPr="00B94B62">
        <w:rPr>
          <w:rFonts w:ascii="Times New Roman" w:eastAsia="Times New Roman" w:hAnsi="Times New Roman"/>
          <w:b/>
          <w:color w:val="000000" w:themeColor="text1"/>
          <w:sz w:val="28"/>
          <w:szCs w:val="28"/>
        </w:rPr>
        <w:t>Patterns and Mechanisms of Ant Diversity in Two Types of Land Use within Protected Forest Area Sirimau City of Ambon Maluku Province</w:t>
      </w:r>
    </w:p>
    <w:p w:rsidR="00F66F24" w:rsidRDefault="00F66F24">
      <w:pPr>
        <w:jc w:val="center"/>
        <w:rPr>
          <w:rFonts w:ascii="Times New Roman" w:eastAsia="Times New Roman" w:hAnsi="Times New Roman"/>
          <w:b/>
          <w:color w:val="000000" w:themeColor="text1"/>
          <w:sz w:val="24"/>
          <w:szCs w:val="24"/>
        </w:rPr>
      </w:pPr>
    </w:p>
    <w:p w:rsidR="00F66F24" w:rsidRDefault="00F66F24">
      <w:pPr>
        <w:jc w:val="center"/>
        <w:rPr>
          <w:rFonts w:ascii="Times New Roman" w:eastAsia="Times New Roman" w:hAnsi="Times New Roman"/>
          <w:b/>
          <w:color w:val="000000" w:themeColor="text1"/>
          <w:sz w:val="24"/>
          <w:szCs w:val="24"/>
        </w:rPr>
      </w:pPr>
    </w:p>
    <w:p w:rsidR="00F66F24" w:rsidRPr="00B94B62" w:rsidRDefault="00CC24CB" w:rsidP="00B94B62">
      <w:pPr>
        <w:jc w:val="center"/>
        <w:rPr>
          <w:rFonts w:ascii="Times New Roman" w:eastAsia="Times New Roman" w:hAnsi="Times New Roman"/>
          <w:b/>
          <w:sz w:val="24"/>
          <w:szCs w:val="24"/>
          <w:vertAlign w:val="superscript"/>
        </w:rPr>
      </w:pPr>
      <w:r>
        <w:rPr>
          <w:rFonts w:ascii="Times New Roman" w:eastAsia="Times New Roman" w:hAnsi="Times New Roman"/>
          <w:b/>
          <w:sz w:val="24"/>
          <w:szCs w:val="24"/>
        </w:rPr>
        <w:t>Fransina Latumahina</w:t>
      </w:r>
    </w:p>
    <w:p w:rsidR="00F66F24" w:rsidRDefault="00CC24CB" w:rsidP="00B94B62">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Faculty of Agricu</w:t>
      </w:r>
      <w:r w:rsidR="00B94B62">
        <w:rPr>
          <w:rFonts w:ascii="Times New Roman" w:eastAsia="Times New Roman" w:hAnsi="Times New Roman"/>
          <w:color w:val="000000" w:themeColor="text1"/>
          <w:sz w:val="24"/>
          <w:szCs w:val="24"/>
        </w:rPr>
        <w:t>lture, Pattimura University, INDONESIA</w:t>
      </w:r>
    </w:p>
    <w:p w:rsidR="00B94B62" w:rsidRDefault="00B94B62" w:rsidP="00B94B62">
      <w:pPr>
        <w:jc w:val="center"/>
        <w:rPr>
          <w:rFonts w:ascii="Times New Roman" w:eastAsia="Times New Roman" w:hAnsi="Times New Roman"/>
          <w:color w:val="000000" w:themeColor="text1"/>
          <w:sz w:val="24"/>
          <w:szCs w:val="24"/>
        </w:rPr>
      </w:pPr>
    </w:p>
    <w:p w:rsidR="00B94B62" w:rsidRPr="00B94B62" w:rsidRDefault="00B94B62" w:rsidP="00B94B62">
      <w:pPr>
        <w:jc w:val="center"/>
        <w:rPr>
          <w:rFonts w:ascii="Times New Roman" w:eastAsia="Times New Roman" w:hAnsi="Times New Roman"/>
          <w:b/>
          <w:color w:val="000000" w:themeColor="text1"/>
          <w:sz w:val="24"/>
          <w:szCs w:val="24"/>
        </w:rPr>
      </w:pPr>
      <w:r w:rsidRPr="00B94B62">
        <w:rPr>
          <w:rFonts w:ascii="Times New Roman" w:eastAsia="Times New Roman" w:hAnsi="Times New Roman"/>
          <w:b/>
          <w:color w:val="000000" w:themeColor="text1"/>
          <w:sz w:val="24"/>
          <w:szCs w:val="24"/>
        </w:rPr>
        <w:t>Pieter J. Kunu</w:t>
      </w:r>
    </w:p>
    <w:p w:rsidR="00B94B62" w:rsidRDefault="00B94B62" w:rsidP="00B94B62">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Faculty of Agriculture, Pattimura University, INDONESIA</w:t>
      </w:r>
    </w:p>
    <w:p w:rsidR="00B94B62" w:rsidRDefault="00B94B62" w:rsidP="00B94B62">
      <w:pPr>
        <w:jc w:val="center"/>
        <w:rPr>
          <w:rFonts w:ascii="Times New Roman" w:eastAsia="Times New Roman" w:hAnsi="Times New Roman"/>
          <w:color w:val="000000" w:themeColor="text1"/>
          <w:sz w:val="24"/>
          <w:szCs w:val="24"/>
        </w:rPr>
      </w:pPr>
    </w:p>
    <w:p w:rsidR="00B94B62" w:rsidRDefault="00B94B62" w:rsidP="00B94B62">
      <w:pPr>
        <w:jc w:val="center"/>
        <w:rPr>
          <w:rFonts w:ascii="Times New Roman" w:eastAsia="Times New Roman" w:hAnsi="Times New Roman"/>
          <w:b/>
          <w:color w:val="000000" w:themeColor="text1"/>
          <w:sz w:val="24"/>
          <w:szCs w:val="24"/>
        </w:rPr>
      </w:pPr>
      <w:r w:rsidRPr="00B94B62">
        <w:rPr>
          <w:rFonts w:ascii="Times New Roman" w:eastAsia="Times New Roman" w:hAnsi="Times New Roman"/>
          <w:b/>
          <w:color w:val="000000" w:themeColor="text1"/>
          <w:sz w:val="24"/>
          <w:szCs w:val="24"/>
        </w:rPr>
        <w:t>Tekat Dwi Cahyono</w:t>
      </w:r>
    </w:p>
    <w:p w:rsidR="00B94B62" w:rsidRDefault="00B94B62" w:rsidP="00B94B62">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Faculty of Agriculture, </w:t>
      </w:r>
      <w:r>
        <w:rPr>
          <w:rFonts w:ascii="Times New Roman" w:eastAsia="Times New Roman" w:hAnsi="Times New Roman"/>
          <w:color w:val="000000" w:themeColor="text1"/>
          <w:sz w:val="24"/>
          <w:szCs w:val="24"/>
        </w:rPr>
        <w:t>Darusallam</w:t>
      </w:r>
      <w:r>
        <w:rPr>
          <w:rFonts w:ascii="Times New Roman" w:eastAsia="Times New Roman" w:hAnsi="Times New Roman"/>
          <w:color w:val="000000" w:themeColor="text1"/>
          <w:sz w:val="24"/>
          <w:szCs w:val="24"/>
        </w:rPr>
        <w:t xml:space="preserve"> University</w:t>
      </w:r>
      <w:r>
        <w:rPr>
          <w:rFonts w:ascii="Times New Roman" w:eastAsia="Times New Roman" w:hAnsi="Times New Roman"/>
          <w:color w:val="000000" w:themeColor="text1"/>
          <w:sz w:val="24"/>
          <w:szCs w:val="24"/>
        </w:rPr>
        <w:t xml:space="preserve"> Ambon</w:t>
      </w:r>
      <w:r>
        <w:rPr>
          <w:rFonts w:ascii="Times New Roman" w:eastAsia="Times New Roman" w:hAnsi="Times New Roman"/>
          <w:color w:val="000000" w:themeColor="text1"/>
          <w:sz w:val="24"/>
          <w:szCs w:val="24"/>
        </w:rPr>
        <w:t>, INDONESIA</w:t>
      </w:r>
    </w:p>
    <w:p w:rsidR="00B94B62" w:rsidRPr="00B94B62" w:rsidRDefault="00B94B62" w:rsidP="00B94B62">
      <w:pPr>
        <w:jc w:val="center"/>
        <w:rPr>
          <w:rFonts w:ascii="Times New Roman" w:eastAsia="Times New Roman" w:hAnsi="Times New Roman"/>
          <w:b/>
          <w:color w:val="000000" w:themeColor="text1"/>
          <w:sz w:val="24"/>
          <w:szCs w:val="24"/>
        </w:rPr>
      </w:pPr>
    </w:p>
    <w:p w:rsidR="00F66F24" w:rsidRDefault="00F66F24" w:rsidP="00B94B62">
      <w:pPr>
        <w:spacing w:line="480" w:lineRule="auto"/>
        <w:rPr>
          <w:rFonts w:ascii="Times New Roman" w:eastAsia="Times New Roman" w:hAnsi="Times New Roman"/>
          <w:color w:val="000000" w:themeColor="text1"/>
          <w:sz w:val="24"/>
          <w:szCs w:val="24"/>
        </w:rPr>
      </w:pPr>
    </w:p>
    <w:p w:rsidR="00F66F24" w:rsidRDefault="00CC24CB">
      <w:pPr>
        <w:spacing w:line="48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ABSTRACT</w:t>
      </w:r>
    </w:p>
    <w:p w:rsidR="00F66F24" w:rsidRPr="00B94B62" w:rsidRDefault="00CC24CB">
      <w:pPr>
        <w:jc w:val="both"/>
        <w:rPr>
          <w:rFonts w:ascii="Times New Roman" w:eastAsia="Times New Roman" w:hAnsi="Times New Roman"/>
          <w:b/>
          <w:color w:val="000000" w:themeColor="text1"/>
          <w:sz w:val="24"/>
          <w:szCs w:val="24"/>
        </w:rPr>
      </w:pPr>
      <w:r w:rsidRPr="00B94B62">
        <w:rPr>
          <w:rFonts w:ascii="Times New Roman" w:eastAsia="Times New Roman" w:hAnsi="Times New Roman"/>
          <w:b/>
          <w:color w:val="000000" w:themeColor="text1"/>
          <w:sz w:val="24"/>
          <w:szCs w:val="24"/>
        </w:rPr>
        <w:t xml:space="preserve">Ants are the biodiversity constituent of 30% of the total insect biomass, very sensitive to changes in habitat structure and the environment in which </w:t>
      </w:r>
      <w:r w:rsidRPr="00B94B62">
        <w:rPr>
          <w:rFonts w:ascii="Times New Roman" w:eastAsia="Times New Roman" w:hAnsi="Times New Roman"/>
          <w:b/>
          <w:color w:val="000000" w:themeColor="text1"/>
          <w:sz w:val="24"/>
          <w:szCs w:val="24"/>
        </w:rPr>
        <w:t>they live can be an indicator of habitat destruction and ecosystem stability. The research was carried out in Sirimau Protected Forest area of ​​Ambon City on two types of land use - each of secondary dryland and dryland farming from August to December 201</w:t>
      </w:r>
      <w:r w:rsidRPr="00B94B62">
        <w:rPr>
          <w:rFonts w:ascii="Times New Roman" w:eastAsia="Times New Roman" w:hAnsi="Times New Roman"/>
          <w:b/>
          <w:color w:val="000000" w:themeColor="text1"/>
          <w:sz w:val="24"/>
          <w:szCs w:val="24"/>
        </w:rPr>
        <w:t>2. The objective of the study was to know the structure of the ant community in two types of land use and to measure the pattern of ant distribution and diversity. Measurement of ant diversity using the Transect Line Plot method through a sampling system o</w:t>
      </w:r>
      <w:r w:rsidRPr="00B94B62">
        <w:rPr>
          <w:rFonts w:ascii="Times New Roman" w:eastAsia="Times New Roman" w:hAnsi="Times New Roman"/>
          <w:b/>
          <w:color w:val="000000" w:themeColor="text1"/>
          <w:sz w:val="24"/>
          <w:szCs w:val="24"/>
        </w:rPr>
        <w:t>f a population sample with a sample plot approach that is on a line drawn across each type of land use using three Pitfall Trap (PT) methods or trap trap, Bait Trap BT) used Sugar and Tuna as feed and Hand Collecting (HC) method (Hasimoto, 2001) and collec</w:t>
      </w:r>
      <w:r w:rsidRPr="00B94B62">
        <w:rPr>
          <w:rFonts w:ascii="Times New Roman" w:eastAsia="Times New Roman" w:hAnsi="Times New Roman"/>
          <w:b/>
          <w:color w:val="000000" w:themeColor="text1"/>
          <w:sz w:val="24"/>
          <w:szCs w:val="24"/>
        </w:rPr>
        <w:t>ted with 70% alcohol preservation. Determination of ant species diversity and ant typeness in each type of land use using Shanon-Wienner index with the help of Ecological Methodology 2nd Edition (Krebs, 2000), and Margalef index (Ludwig and Reynold, 1988).</w:t>
      </w:r>
      <w:r w:rsidRPr="00B94B62">
        <w:rPr>
          <w:rFonts w:ascii="Times New Roman" w:eastAsia="Times New Roman" w:hAnsi="Times New Roman"/>
          <w:b/>
          <w:color w:val="000000" w:themeColor="text1"/>
          <w:sz w:val="24"/>
          <w:szCs w:val="24"/>
        </w:rPr>
        <w:t xml:space="preserve"> The results of the study found that the number of individuals on the secondary dry land was 47,672 dominated by Meranoplus bicolor and Crematogaster ampularis and on dry land agriculture of 65,413 dominated by Polirachis belicossa and Echinopla lineata-li</w:t>
      </w:r>
      <w:r w:rsidRPr="00B94B62">
        <w:rPr>
          <w:rFonts w:ascii="Times New Roman" w:eastAsia="Times New Roman" w:hAnsi="Times New Roman"/>
          <w:b/>
          <w:color w:val="000000" w:themeColor="text1"/>
          <w:sz w:val="24"/>
          <w:szCs w:val="24"/>
        </w:rPr>
        <w:t>neata. The diversity index in August in the secondary drylands was 3.33 and 3.31 in September while on dryland farms were 3.67 in August and 3.59 in September were high.</w:t>
      </w:r>
    </w:p>
    <w:p w:rsidR="00F66F24" w:rsidRDefault="00F66F24">
      <w:pPr>
        <w:jc w:val="both"/>
        <w:rPr>
          <w:rFonts w:ascii="Times New Roman" w:eastAsia="Times New Roman" w:hAnsi="Times New Roman"/>
          <w:color w:val="000000" w:themeColor="text1"/>
          <w:sz w:val="24"/>
          <w:szCs w:val="24"/>
        </w:rPr>
      </w:pPr>
    </w:p>
    <w:p w:rsidR="00F66F24" w:rsidRDefault="00CC24CB">
      <w:pPr>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Keywords</w:t>
      </w:r>
      <w:r>
        <w:rPr>
          <w:rFonts w:ascii="Times New Roman" w:eastAsia="Times New Roman" w:hAnsi="Times New Roman"/>
          <w:color w:val="000000" w:themeColor="text1"/>
          <w:sz w:val="24"/>
          <w:szCs w:val="24"/>
        </w:rPr>
        <w:t>: Ants, Diversity, Meranoplus bicolor, Crematogaster ampularis, Polirachis be</w:t>
      </w:r>
      <w:r>
        <w:rPr>
          <w:rFonts w:ascii="Times New Roman" w:eastAsia="Times New Roman" w:hAnsi="Times New Roman"/>
          <w:color w:val="000000" w:themeColor="text1"/>
          <w:sz w:val="24"/>
          <w:szCs w:val="24"/>
        </w:rPr>
        <w:t>licossa, Echinopla lineata - lineata.</w:t>
      </w:r>
    </w:p>
    <w:p w:rsidR="00F66F24" w:rsidRDefault="00F66F24">
      <w:pPr>
        <w:spacing w:line="480" w:lineRule="auto"/>
        <w:rPr>
          <w:rFonts w:ascii="Times New Roman" w:eastAsia="Times New Roman" w:hAnsi="Times New Roman"/>
          <w:color w:val="000000" w:themeColor="text1"/>
          <w:sz w:val="24"/>
          <w:szCs w:val="24"/>
        </w:rPr>
      </w:pPr>
    </w:p>
    <w:p w:rsidR="00F66F24" w:rsidRDefault="00F66F24">
      <w:pPr>
        <w:spacing w:line="480" w:lineRule="auto"/>
        <w:jc w:val="center"/>
        <w:rPr>
          <w:rFonts w:ascii="Times New Roman" w:eastAsia="Times New Roman" w:hAnsi="Times New Roman"/>
          <w:sz w:val="32"/>
          <w:szCs w:val="32"/>
        </w:rPr>
      </w:pPr>
    </w:p>
    <w:p w:rsidR="00F66F24" w:rsidRDefault="00CC24CB" w:rsidP="00007BB2">
      <w:pPr>
        <w:jc w:val="center"/>
        <w:rPr>
          <w:rFonts w:ascii="Times New Roman" w:eastAsia="Times New Roman" w:hAnsi="Times New Roman"/>
          <w:b/>
          <w:color w:val="000000" w:themeColor="text1"/>
          <w:spacing w:val="-9"/>
          <w:sz w:val="24"/>
          <w:szCs w:val="24"/>
        </w:rPr>
      </w:pPr>
      <w:r>
        <w:rPr>
          <w:rFonts w:ascii="Times New Roman" w:eastAsia="Times New Roman" w:hAnsi="Times New Roman"/>
          <w:b/>
          <w:color w:val="000000" w:themeColor="text1"/>
          <w:spacing w:val="-9"/>
          <w:sz w:val="24"/>
          <w:szCs w:val="24"/>
        </w:rPr>
        <w:lastRenderedPageBreak/>
        <w:t>INTRODUCTION</w:t>
      </w:r>
    </w:p>
    <w:p w:rsidR="00F66F24" w:rsidRDefault="00CC24CB" w:rsidP="00007BB2">
      <w:pPr>
        <w:spacing w:after="240"/>
        <w:ind w:left="-14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results of the 2010 satellite imagery interpellation by the Ambon City Forestry Office showed a change in land use within the Sirimau protected forest area where an area of </w:t>
      </w:r>
      <w:r>
        <w:rPr>
          <w:rFonts w:ascii="Times New Roman" w:eastAsia="Times New Roman" w:hAnsi="Times New Roman"/>
          <w:color w:val="000000" w:themeColor="text1"/>
          <w:sz w:val="24"/>
          <w:szCs w:val="24"/>
        </w:rPr>
        <w:t>​​86.48 ha was found, 300.12 ha of primary dryland, 448.58 ha of secondary dryland, dryland agriculture mixed with the widest area 764.86 ha and shrubs covering an area of ​​2,161.51 ha (Anonymous, 2010). The transfer of functions occurring within this pro</w:t>
      </w:r>
      <w:r>
        <w:rPr>
          <w:rFonts w:ascii="Times New Roman" w:eastAsia="Times New Roman" w:hAnsi="Times New Roman"/>
          <w:color w:val="000000" w:themeColor="text1"/>
          <w:sz w:val="24"/>
          <w:szCs w:val="24"/>
        </w:rPr>
        <w:t>tected forest area leads to alleged changes in biodiversity of both flora and fauna that will lead to the occurrence of habitat degradation and fragmentation</w:t>
      </w:r>
    </w:p>
    <w:p w:rsidR="00F66F24" w:rsidRDefault="00CC24CB" w:rsidP="00007BB2">
      <w:pPr>
        <w:spacing w:after="240"/>
        <w:ind w:left="-14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One of the organisms of biodiversity in the ecosystem is the ants. Ants (Hymenoptera: Formicidae) </w:t>
      </w:r>
      <w:r>
        <w:rPr>
          <w:rFonts w:ascii="Times New Roman" w:eastAsia="Times New Roman" w:hAnsi="Times New Roman"/>
          <w:color w:val="000000" w:themeColor="text1"/>
          <w:sz w:val="24"/>
          <w:szCs w:val="24"/>
        </w:rPr>
        <w:t>are insects found in almost every type of ecosystem except the polar regions. In tropical ecosystems ants can account for more than 30% of total insect biomass and have various roles in the ecosystem (Bolton, 1994). Ants are very sensitive to changes in th</w:t>
      </w:r>
      <w:r>
        <w:rPr>
          <w:rFonts w:ascii="Times New Roman" w:eastAsia="Times New Roman" w:hAnsi="Times New Roman"/>
          <w:color w:val="000000" w:themeColor="text1"/>
          <w:sz w:val="24"/>
          <w:szCs w:val="24"/>
        </w:rPr>
        <w:t>e habitat structure and environment in which they live and have different adaptability capabilities in each type of habitat (Andersen, 1977). Ants are a group of land animals that dominate tropical climates and can be an indicator of habitat destruction an</w:t>
      </w:r>
      <w:r>
        <w:rPr>
          <w:rFonts w:ascii="Times New Roman" w:eastAsia="Times New Roman" w:hAnsi="Times New Roman"/>
          <w:color w:val="000000" w:themeColor="text1"/>
          <w:sz w:val="24"/>
          <w:szCs w:val="24"/>
        </w:rPr>
        <w:t>d a key indicator in measuring diversity of insects (Brown et al, 2000).</w:t>
      </w:r>
    </w:p>
    <w:p w:rsidR="00CF2F44" w:rsidRDefault="00CC24CB" w:rsidP="00CF2F44">
      <w:pPr>
        <w:ind w:left="-14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diversity of ants in the forest will be an indicator of the level of stability of the forest ecosystem where the higher the level of ant diversity, the food chain and ecological p</w:t>
      </w:r>
      <w:r>
        <w:rPr>
          <w:rFonts w:ascii="Times New Roman" w:eastAsia="Times New Roman" w:hAnsi="Times New Roman"/>
          <w:color w:val="000000" w:themeColor="text1"/>
          <w:sz w:val="24"/>
          <w:szCs w:val="24"/>
        </w:rPr>
        <w:t>rocesses together with other biotic components such as predation, parasitism, competition, symbiosis and predation in the forest ecosystem will be more complex and varied so as to have the chance to create balance and stability (Mejer, 2006). High diversit</w:t>
      </w:r>
      <w:r>
        <w:rPr>
          <w:rFonts w:ascii="Times New Roman" w:eastAsia="Times New Roman" w:hAnsi="Times New Roman"/>
          <w:color w:val="000000" w:themeColor="text1"/>
          <w:sz w:val="24"/>
          <w:szCs w:val="24"/>
        </w:rPr>
        <w:t>y suggests a steady ecosystem balance because it has a high degree of elasticity to shocks in otherwise ecosystem ecosystems with low diversity indicating a pressure that results in degradation of ecosystem quality (Odum, 1998). This study is expected to e</w:t>
      </w:r>
      <w:r>
        <w:rPr>
          <w:rFonts w:ascii="Times New Roman" w:eastAsia="Times New Roman" w:hAnsi="Times New Roman"/>
          <w:color w:val="000000" w:themeColor="text1"/>
          <w:sz w:val="24"/>
          <w:szCs w:val="24"/>
        </w:rPr>
        <w:t>xplain the structure and composition of ant diversity as a result of the transfer of forest function to two types of land use within the Sirimau protected forest area of ​​Ambon City.</w:t>
      </w:r>
    </w:p>
    <w:p w:rsidR="00CF2F44" w:rsidRDefault="00CF2F44" w:rsidP="00CF2F44">
      <w:pPr>
        <w:ind w:left="-142"/>
        <w:jc w:val="both"/>
        <w:rPr>
          <w:rFonts w:ascii="Times New Roman" w:eastAsia="Times New Roman" w:hAnsi="Times New Roman"/>
          <w:color w:val="000000" w:themeColor="text1"/>
          <w:sz w:val="24"/>
          <w:szCs w:val="24"/>
        </w:rPr>
      </w:pPr>
    </w:p>
    <w:p w:rsidR="00CF2F44" w:rsidRDefault="00CC24CB" w:rsidP="00CF2F44">
      <w:pPr>
        <w:ind w:left="-142"/>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Research purposes</w:t>
      </w:r>
    </w:p>
    <w:p w:rsidR="00CF2F44" w:rsidRDefault="00CC24CB" w:rsidP="00CF2F44">
      <w:pPr>
        <w:ind w:left="-14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purpose of this research are:</w:t>
      </w:r>
    </w:p>
    <w:p w:rsidR="00CF2F44" w:rsidRDefault="00CC24CB" w:rsidP="00CF2F44">
      <w:pPr>
        <w:ind w:left="-14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Knowing the structure of the ant community in two types of land use within the Sirimau Protec</w:t>
      </w:r>
      <w:r w:rsidR="00CF2F44">
        <w:rPr>
          <w:rFonts w:ascii="Times New Roman" w:eastAsia="Times New Roman" w:hAnsi="Times New Roman"/>
          <w:color w:val="000000" w:themeColor="text1"/>
          <w:sz w:val="24"/>
          <w:szCs w:val="24"/>
        </w:rPr>
        <w:t>ted Forest area of ​​Ambon City.</w:t>
      </w:r>
    </w:p>
    <w:p w:rsidR="00F66F24" w:rsidRDefault="00CC24CB" w:rsidP="00CF2F44">
      <w:pPr>
        <w:ind w:left="-14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Measuring the distribution pattern and ant diversity in two types of land use within the Sirimau Protected Forest area of ​​</w:t>
      </w:r>
      <w:r>
        <w:rPr>
          <w:rFonts w:ascii="Times New Roman" w:eastAsia="Times New Roman" w:hAnsi="Times New Roman"/>
          <w:color w:val="000000" w:themeColor="text1"/>
          <w:sz w:val="24"/>
          <w:szCs w:val="24"/>
        </w:rPr>
        <w:t>Ambon City.</w:t>
      </w:r>
    </w:p>
    <w:p w:rsidR="00CF2F44" w:rsidRDefault="00CF2F44" w:rsidP="00640ABB">
      <w:pPr>
        <w:spacing w:after="200" w:line="480" w:lineRule="auto"/>
        <w:jc w:val="center"/>
        <w:rPr>
          <w:rFonts w:ascii="Times New Roman" w:eastAsia="Times New Roman" w:hAnsi="Times New Roman"/>
          <w:b/>
          <w:color w:val="000000" w:themeColor="text1"/>
          <w:sz w:val="24"/>
          <w:szCs w:val="24"/>
        </w:rPr>
      </w:pPr>
    </w:p>
    <w:p w:rsidR="00F66F24" w:rsidRDefault="00CC24CB" w:rsidP="00640ABB">
      <w:pPr>
        <w:spacing w:after="200" w:line="48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METHODOLOGY</w:t>
      </w:r>
    </w:p>
    <w:p w:rsidR="00F66F24" w:rsidRDefault="00007BB2" w:rsidP="00007BB2">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TIME AND LOCATION RESEARCH</w:t>
      </w:r>
    </w:p>
    <w:p w:rsidR="00F66F24" w:rsidRDefault="00CC24CB" w:rsidP="00640ABB">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study was conducted from August to December 2011 on two types of land use within the Sirimau Protected Forest area of ​​Ambon City each containing secondary dry land and dryland farming. This forest ar</w:t>
      </w:r>
      <w:r>
        <w:rPr>
          <w:rFonts w:ascii="Times New Roman" w:eastAsia="Times New Roman" w:hAnsi="Times New Roman"/>
          <w:color w:val="000000" w:themeColor="text1"/>
          <w:sz w:val="24"/>
          <w:szCs w:val="24"/>
        </w:rPr>
        <w:t xml:space="preserve">ea is designated as Protected forest (Hutan Lindung) through the Decree </w:t>
      </w:r>
      <w:r>
        <w:rPr>
          <w:rFonts w:ascii="Times New Roman" w:eastAsia="Times New Roman" w:hAnsi="Times New Roman"/>
          <w:color w:val="000000" w:themeColor="text1"/>
          <w:sz w:val="24"/>
          <w:szCs w:val="24"/>
        </w:rPr>
        <w:lastRenderedPageBreak/>
        <w:t>of the Minister of Forestry Number 10327 / Kpts-II / 2002 with an area of ​​3,889 ha and geographically located between 128o11'30 "-128o16'36" BT and 3o19'15 "-3o44'10" The topographic</w:t>
      </w:r>
      <w:r>
        <w:rPr>
          <w:rFonts w:ascii="Times New Roman" w:eastAsia="Times New Roman" w:hAnsi="Times New Roman"/>
          <w:color w:val="000000" w:themeColor="text1"/>
          <w:sz w:val="24"/>
          <w:szCs w:val="24"/>
        </w:rPr>
        <w:t xml:space="preserve"> LS is in a flat to very steep slope class.</w:t>
      </w:r>
    </w:p>
    <w:p w:rsidR="00F66F24" w:rsidRDefault="00CC24CB" w:rsidP="00640ABB">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Based on Geological Map of Ambon Island issued by Geology Directorate of Geology Department of Mines and Energy Geological Map of Ambon City in 2010, the geological condition of Protected Forest of Sirimau mounta</w:t>
      </w:r>
      <w:r>
        <w:rPr>
          <w:rFonts w:ascii="Times New Roman" w:eastAsia="Times New Roman" w:hAnsi="Times New Roman"/>
          <w:color w:val="000000" w:themeColor="text1"/>
          <w:sz w:val="24"/>
          <w:szCs w:val="24"/>
        </w:rPr>
        <w:t xml:space="preserve">in is formed from 4 (four) rock formations namely 1) Kanike Formation (Center of protected forest), 2) Ambon Volcano Rock Formation (Tpav) in the form of loose material containing andesite lava, 3) dasit formation and 4) Breccia Formation Tuf. (Anonymous, </w:t>
      </w:r>
      <w:r>
        <w:rPr>
          <w:rFonts w:ascii="Times New Roman" w:eastAsia="Times New Roman" w:hAnsi="Times New Roman"/>
          <w:color w:val="000000" w:themeColor="text1"/>
          <w:sz w:val="24"/>
          <w:szCs w:val="24"/>
        </w:rPr>
        <w:t>2010)</w:t>
      </w:r>
    </w:p>
    <w:p w:rsidR="00F66F24" w:rsidRDefault="00CC24CB" w:rsidP="00640ABB">
      <w:pPr>
        <w:shd w:val="clear" w:color="000000" w:fill="FFFFFF"/>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Some of the dominant vegetation types in this protected forest area are Ekaliptus (</w:t>
      </w:r>
      <w:r>
        <w:rPr>
          <w:rFonts w:ascii="Times New Roman" w:eastAsia="Times New Roman" w:hAnsi="Times New Roman"/>
          <w:i/>
          <w:color w:val="000000" w:themeColor="text1"/>
          <w:sz w:val="24"/>
          <w:szCs w:val="24"/>
        </w:rPr>
        <w:t>Eucalyptus sp</w:t>
      </w:r>
      <w:r>
        <w:rPr>
          <w:rFonts w:ascii="Times New Roman" w:eastAsia="Times New Roman" w:hAnsi="Times New Roman"/>
          <w:color w:val="000000" w:themeColor="text1"/>
          <w:sz w:val="24"/>
          <w:szCs w:val="24"/>
        </w:rPr>
        <w:t>), Acacia (</w:t>
      </w:r>
      <w:r>
        <w:rPr>
          <w:rFonts w:ascii="Times New Roman" w:eastAsia="Times New Roman" w:hAnsi="Times New Roman"/>
          <w:i/>
          <w:color w:val="000000" w:themeColor="text1"/>
          <w:sz w:val="24"/>
          <w:szCs w:val="24"/>
        </w:rPr>
        <w:t>Acacia mangium</w:t>
      </w:r>
      <w:r>
        <w:rPr>
          <w:rFonts w:ascii="Times New Roman" w:eastAsia="Times New Roman" w:hAnsi="Times New Roman"/>
          <w:color w:val="000000" w:themeColor="text1"/>
          <w:sz w:val="24"/>
          <w:szCs w:val="24"/>
        </w:rPr>
        <w:t>), Mountain Pine (</w:t>
      </w:r>
      <w:r>
        <w:rPr>
          <w:rFonts w:ascii="Times New Roman" w:eastAsia="Times New Roman" w:hAnsi="Times New Roman"/>
          <w:i/>
          <w:color w:val="000000" w:themeColor="text1"/>
          <w:sz w:val="24"/>
          <w:szCs w:val="24"/>
        </w:rPr>
        <w:t>Casuarina eguisetifolia</w:t>
      </w:r>
      <w:r>
        <w:rPr>
          <w:rFonts w:ascii="Times New Roman" w:eastAsia="Times New Roman" w:hAnsi="Times New Roman"/>
          <w:color w:val="000000" w:themeColor="text1"/>
          <w:sz w:val="24"/>
          <w:szCs w:val="24"/>
        </w:rPr>
        <w:t>), Tusam (</w:t>
      </w:r>
      <w:r>
        <w:rPr>
          <w:rFonts w:ascii="Times New Roman" w:eastAsia="Times New Roman" w:hAnsi="Times New Roman"/>
          <w:i/>
          <w:color w:val="000000" w:themeColor="text1"/>
          <w:sz w:val="24"/>
          <w:szCs w:val="24"/>
        </w:rPr>
        <w:t>Pinus merkusii Jung Et De Vriese</w:t>
      </w:r>
      <w:r>
        <w:rPr>
          <w:rFonts w:ascii="Times New Roman" w:eastAsia="Times New Roman" w:hAnsi="Times New Roman"/>
          <w:color w:val="000000" w:themeColor="text1"/>
          <w:sz w:val="24"/>
          <w:szCs w:val="24"/>
        </w:rPr>
        <w:t>) and Meranti (</w:t>
      </w:r>
      <w:r>
        <w:rPr>
          <w:rFonts w:ascii="Times New Roman" w:eastAsia="Times New Roman" w:hAnsi="Times New Roman"/>
          <w:i/>
          <w:color w:val="000000" w:themeColor="text1"/>
          <w:sz w:val="24"/>
          <w:szCs w:val="24"/>
        </w:rPr>
        <w:t>Shorea sp</w:t>
      </w:r>
      <w:r>
        <w:rPr>
          <w:rFonts w:ascii="Times New Roman" w:eastAsia="Times New Roman" w:hAnsi="Times New Roman"/>
          <w:color w:val="000000" w:themeColor="text1"/>
          <w:sz w:val="24"/>
          <w:szCs w:val="24"/>
        </w:rPr>
        <w:t>), Avocado (</w:t>
      </w:r>
      <w:r>
        <w:rPr>
          <w:rFonts w:ascii="Times New Roman" w:eastAsia="Times New Roman" w:hAnsi="Times New Roman"/>
          <w:i/>
          <w:color w:val="000000" w:themeColor="text1"/>
          <w:sz w:val="24"/>
          <w:szCs w:val="24"/>
        </w:rPr>
        <w:t>Persea ame</w:t>
      </w:r>
      <w:r>
        <w:rPr>
          <w:rFonts w:ascii="Times New Roman" w:eastAsia="Times New Roman" w:hAnsi="Times New Roman"/>
          <w:i/>
          <w:color w:val="000000" w:themeColor="text1"/>
          <w:sz w:val="24"/>
          <w:szCs w:val="24"/>
        </w:rPr>
        <w:t>ricana</w:t>
      </w:r>
      <w:r>
        <w:rPr>
          <w:rFonts w:ascii="Times New Roman" w:eastAsia="Times New Roman" w:hAnsi="Times New Roman"/>
          <w:color w:val="000000" w:themeColor="text1"/>
          <w:sz w:val="24"/>
          <w:szCs w:val="24"/>
        </w:rPr>
        <w:t xml:space="preserve"> ), Duku (</w:t>
      </w:r>
      <w:r>
        <w:rPr>
          <w:rFonts w:ascii="Times New Roman" w:eastAsia="Times New Roman" w:hAnsi="Times New Roman"/>
          <w:i/>
          <w:color w:val="000000" w:themeColor="text1"/>
          <w:sz w:val="24"/>
          <w:szCs w:val="24"/>
        </w:rPr>
        <w:t>Langsium domesticum</w:t>
      </w:r>
      <w:r>
        <w:rPr>
          <w:rFonts w:ascii="Times New Roman" w:eastAsia="Times New Roman" w:hAnsi="Times New Roman"/>
          <w:color w:val="000000" w:themeColor="text1"/>
          <w:sz w:val="24"/>
          <w:szCs w:val="24"/>
        </w:rPr>
        <w:t>), Durian (</w:t>
      </w:r>
      <w:r>
        <w:rPr>
          <w:rFonts w:ascii="Times New Roman" w:eastAsia="Times New Roman" w:hAnsi="Times New Roman"/>
          <w:i/>
          <w:color w:val="000000" w:themeColor="text1"/>
          <w:sz w:val="24"/>
          <w:szCs w:val="24"/>
        </w:rPr>
        <w:t>Durio zibethinus</w:t>
      </w:r>
      <w:r>
        <w:rPr>
          <w:rFonts w:ascii="Times New Roman" w:eastAsia="Times New Roman" w:hAnsi="Times New Roman"/>
          <w:color w:val="000000" w:themeColor="text1"/>
          <w:sz w:val="24"/>
          <w:szCs w:val="24"/>
        </w:rPr>
        <w:t>), Gandaria (</w:t>
      </w:r>
      <w:r>
        <w:rPr>
          <w:rFonts w:ascii="Times New Roman" w:eastAsia="Times New Roman" w:hAnsi="Times New Roman"/>
          <w:i/>
          <w:color w:val="000000" w:themeColor="text1"/>
          <w:sz w:val="24"/>
          <w:szCs w:val="24"/>
        </w:rPr>
        <w:t>Buaea macrophila</w:t>
      </w:r>
      <w:r>
        <w:rPr>
          <w:rFonts w:ascii="Times New Roman" w:eastAsia="Times New Roman" w:hAnsi="Times New Roman"/>
          <w:color w:val="000000" w:themeColor="text1"/>
          <w:sz w:val="24"/>
          <w:szCs w:val="24"/>
        </w:rPr>
        <w:t>), Jambu air (</w:t>
      </w:r>
      <w:r>
        <w:rPr>
          <w:rFonts w:ascii="Times New Roman" w:eastAsia="Times New Roman" w:hAnsi="Times New Roman"/>
          <w:i/>
          <w:color w:val="000000" w:themeColor="text1"/>
          <w:sz w:val="24"/>
          <w:szCs w:val="24"/>
        </w:rPr>
        <w:t>Eugenia jambolana</w:t>
      </w:r>
      <w:r>
        <w:rPr>
          <w:rFonts w:ascii="Times New Roman" w:eastAsia="Times New Roman" w:hAnsi="Times New Roman"/>
          <w:color w:val="000000" w:themeColor="text1"/>
          <w:sz w:val="24"/>
          <w:szCs w:val="24"/>
        </w:rPr>
        <w:t>), Cashew (</w:t>
      </w:r>
      <w:r>
        <w:rPr>
          <w:rFonts w:ascii="Times New Roman" w:eastAsia="Times New Roman" w:hAnsi="Times New Roman"/>
          <w:i/>
          <w:color w:val="000000" w:themeColor="text1"/>
          <w:sz w:val="24"/>
          <w:szCs w:val="24"/>
        </w:rPr>
        <w:t>Anacardium ochidentale</w:t>
      </w:r>
      <w:r>
        <w:rPr>
          <w:rFonts w:ascii="Times New Roman" w:eastAsia="Times New Roman" w:hAnsi="Times New Roman"/>
          <w:color w:val="000000" w:themeColor="text1"/>
          <w:sz w:val="24"/>
          <w:szCs w:val="24"/>
        </w:rPr>
        <w:t>), Kedondong (</w:t>
      </w:r>
      <w:r>
        <w:rPr>
          <w:rFonts w:ascii="Times New Roman" w:eastAsia="Times New Roman" w:hAnsi="Times New Roman"/>
          <w:i/>
          <w:color w:val="000000" w:themeColor="text1"/>
          <w:sz w:val="24"/>
          <w:szCs w:val="24"/>
        </w:rPr>
        <w:t>Spondies pinnata</w:t>
      </w:r>
      <w:r>
        <w:rPr>
          <w:rFonts w:ascii="Times New Roman" w:eastAsia="Times New Roman" w:hAnsi="Times New Roman"/>
          <w:color w:val="000000" w:themeColor="text1"/>
          <w:sz w:val="24"/>
          <w:szCs w:val="24"/>
        </w:rPr>
        <w:t>), Mango (</w:t>
      </w:r>
      <w:r>
        <w:rPr>
          <w:rFonts w:ascii="Times New Roman" w:eastAsia="Times New Roman" w:hAnsi="Times New Roman"/>
          <w:i/>
          <w:color w:val="000000" w:themeColor="text1"/>
          <w:sz w:val="24"/>
          <w:szCs w:val="24"/>
        </w:rPr>
        <w:t>Manggifera indica</w:t>
      </w:r>
      <w:r>
        <w:rPr>
          <w:rFonts w:ascii="Times New Roman" w:eastAsia="Times New Roman" w:hAnsi="Times New Roman"/>
          <w:color w:val="000000" w:themeColor="text1"/>
          <w:sz w:val="24"/>
          <w:szCs w:val="24"/>
        </w:rPr>
        <w:t>), Coconut (</w:t>
      </w:r>
      <w:r>
        <w:rPr>
          <w:rFonts w:ascii="Times New Roman" w:eastAsia="Times New Roman" w:hAnsi="Times New Roman"/>
          <w:i/>
          <w:color w:val="000000" w:themeColor="text1"/>
          <w:sz w:val="24"/>
          <w:szCs w:val="24"/>
        </w:rPr>
        <w:t>Cocos nucifera</w:t>
      </w:r>
      <w:r>
        <w:rPr>
          <w:rFonts w:ascii="Times New Roman" w:eastAsia="Times New Roman" w:hAnsi="Times New Roman"/>
          <w:color w:val="000000" w:themeColor="text1"/>
          <w:sz w:val="24"/>
          <w:szCs w:val="24"/>
        </w:rPr>
        <w:t xml:space="preserve"> ) and Rambutan (</w:t>
      </w:r>
      <w:r>
        <w:rPr>
          <w:rFonts w:ascii="Times New Roman" w:eastAsia="Times New Roman" w:hAnsi="Times New Roman"/>
          <w:i/>
          <w:color w:val="000000" w:themeColor="text1"/>
          <w:sz w:val="24"/>
          <w:szCs w:val="24"/>
        </w:rPr>
        <w:t>N</w:t>
      </w:r>
      <w:r>
        <w:rPr>
          <w:rFonts w:ascii="Times New Roman" w:eastAsia="Times New Roman" w:hAnsi="Times New Roman"/>
          <w:i/>
          <w:color w:val="000000" w:themeColor="text1"/>
          <w:sz w:val="24"/>
          <w:szCs w:val="24"/>
        </w:rPr>
        <w:t>ephelium lappeceum</w:t>
      </w:r>
      <w:r>
        <w:rPr>
          <w:rFonts w:ascii="Times New Roman" w:eastAsia="Times New Roman" w:hAnsi="Times New Roman"/>
          <w:color w:val="000000" w:themeColor="text1"/>
          <w:sz w:val="24"/>
          <w:szCs w:val="24"/>
        </w:rPr>
        <w:t>). (Latumahina, 2006)</w:t>
      </w:r>
    </w:p>
    <w:p w:rsidR="00F66F24" w:rsidRDefault="00F66F24">
      <w:pPr>
        <w:shd w:val="clear" w:color="000000" w:fill="FFFFFF"/>
        <w:spacing w:line="480" w:lineRule="auto"/>
        <w:ind w:firstLine="720"/>
        <w:jc w:val="both"/>
        <w:rPr>
          <w:rFonts w:ascii="Times New Roman" w:eastAsia="Times New Roman" w:hAnsi="Times New Roman"/>
          <w:color w:val="000000" w:themeColor="text1"/>
          <w:sz w:val="24"/>
          <w:szCs w:val="24"/>
        </w:rPr>
      </w:pPr>
    </w:p>
    <w:p w:rsidR="00007BB2" w:rsidRDefault="00007BB2" w:rsidP="00007BB2">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RESEARCH PROCEDURE</w:t>
      </w:r>
    </w:p>
    <w:p w:rsidR="00F66F24" w:rsidRPr="00007BB2" w:rsidRDefault="00CC24CB" w:rsidP="00007BB2">
      <w:pPr>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Measurement of ant diversity in two types of land use using the Transect Line Plot method through a sampling system of a population sample with a sample plot approach that is on a line drawn acros</w:t>
      </w:r>
      <w:r>
        <w:rPr>
          <w:rFonts w:ascii="Times New Roman" w:eastAsia="Times New Roman" w:hAnsi="Times New Roman"/>
          <w:color w:val="000000" w:themeColor="text1"/>
          <w:sz w:val="24"/>
          <w:szCs w:val="24"/>
        </w:rPr>
        <w:t>s each type of land use. Three sampling methods was used to take Ants. Those are Pitfall Trap (PT), Bait Trap (BT) using sugar and Tuna fish as a bait and method of Hand Collecting (HC) (Hasimoto, 2001). These three methods are chosen because they are easy</w:t>
      </w:r>
      <w:r>
        <w:rPr>
          <w:rFonts w:ascii="Times New Roman" w:eastAsia="Times New Roman" w:hAnsi="Times New Roman"/>
          <w:color w:val="000000" w:themeColor="text1"/>
          <w:sz w:val="24"/>
          <w:szCs w:val="24"/>
        </w:rPr>
        <w:t xml:space="preserve"> to implement in the field with low cost and get accurate results. The Pitfall Trap method uses a plastic cup of ± 7 cm in diameter and a height of ± 10 cm containing 25 ml of soapy water solution to attract the presence of ants. Pitfall Trap is planted as</w:t>
      </w:r>
      <w:r>
        <w:rPr>
          <w:rFonts w:ascii="Times New Roman" w:eastAsia="Times New Roman" w:hAnsi="Times New Roman"/>
          <w:color w:val="000000" w:themeColor="text1"/>
          <w:sz w:val="24"/>
          <w:szCs w:val="24"/>
        </w:rPr>
        <w:t xml:space="preserve"> deep as ± 10 cm at every 20 m distance in each observation track, and then left for 1 hour after it is taken, collected and identified. The Bait Trap method uses feeds in the form of a sugar solution moistened on cotton and Tuna fish placed in plastic pla</w:t>
      </w:r>
      <w:r>
        <w:rPr>
          <w:rFonts w:ascii="Times New Roman" w:eastAsia="Times New Roman" w:hAnsi="Times New Roman"/>
          <w:color w:val="000000" w:themeColor="text1"/>
          <w:sz w:val="24"/>
          <w:szCs w:val="24"/>
        </w:rPr>
        <w:t>tes attached to two different trees as high as the observer at each 50 m distance on the observation path. Plates left for 1 hour then taken, collected in 70% alcohol and identified in the laboratory. Hand Collecting method is specially carried out on ants</w:t>
      </w:r>
      <w:r>
        <w:rPr>
          <w:rFonts w:ascii="Times New Roman" w:eastAsia="Times New Roman" w:hAnsi="Times New Roman"/>
          <w:color w:val="000000" w:themeColor="text1"/>
          <w:sz w:val="24"/>
          <w:szCs w:val="24"/>
        </w:rPr>
        <w:t xml:space="preserve"> and nests that live around low plants, between rocks, ground surface, mound and wood fracture (Hashimoto, 2001).</w:t>
      </w:r>
    </w:p>
    <w:p w:rsidR="00F66F24" w:rsidRDefault="00CC24CB" w:rsidP="00CF2F44">
      <w:pPr>
        <w:spacing w:before="240"/>
        <w:jc w:val="both"/>
        <w:rPr>
          <w:rFonts w:ascii="Times New Roman" w:eastAsia="Times New Roman" w:hAnsi="Times New Roman"/>
          <w:color w:val="000000" w:themeColor="text1"/>
          <w:spacing w:val="-7"/>
          <w:sz w:val="24"/>
          <w:szCs w:val="24"/>
        </w:rPr>
      </w:pPr>
      <w:r>
        <w:rPr>
          <w:rFonts w:ascii="Times New Roman" w:eastAsia="Times New Roman" w:hAnsi="Times New Roman"/>
          <w:color w:val="000000" w:themeColor="text1"/>
          <w:spacing w:val="-7"/>
          <w:sz w:val="24"/>
          <w:szCs w:val="24"/>
        </w:rPr>
        <w:t>The ants were collected with 70% alcohol preservation and were identified using a binocular stereo microscope up to the species level using so</w:t>
      </w:r>
      <w:r>
        <w:rPr>
          <w:rFonts w:ascii="Times New Roman" w:eastAsia="Times New Roman" w:hAnsi="Times New Roman"/>
          <w:color w:val="000000" w:themeColor="text1"/>
          <w:spacing w:val="-7"/>
          <w:sz w:val="24"/>
          <w:szCs w:val="24"/>
        </w:rPr>
        <w:t>me ant identification keys ie Identification Guide to The Ant Genera of the World (Bolton, 1997), Ants in Indonesia (Suputa and Hasimoto, 2010) and Ant Parataxonomic Training Book Course From ANeT at University Of Malaya Kuala Lumpur (Anonymous, 2005).</w:t>
      </w:r>
    </w:p>
    <w:p w:rsidR="00F66F24" w:rsidRDefault="00F66F24">
      <w:pPr>
        <w:spacing w:line="480" w:lineRule="auto"/>
        <w:ind w:firstLine="709"/>
        <w:jc w:val="both"/>
        <w:rPr>
          <w:rFonts w:ascii="Times New Roman" w:eastAsia="Times New Roman" w:hAnsi="Times New Roman"/>
          <w:color w:val="000000" w:themeColor="text1"/>
          <w:spacing w:val="-7"/>
          <w:sz w:val="24"/>
          <w:szCs w:val="24"/>
        </w:rPr>
      </w:pPr>
    </w:p>
    <w:p w:rsidR="00007BB2" w:rsidRDefault="00007BB2">
      <w:pPr>
        <w:spacing w:line="480" w:lineRule="auto"/>
        <w:jc w:val="both"/>
        <w:rPr>
          <w:rFonts w:ascii="Times New Roman" w:eastAsia="Times New Roman" w:hAnsi="Times New Roman"/>
          <w:b/>
          <w:color w:val="000000" w:themeColor="text1"/>
          <w:sz w:val="24"/>
          <w:szCs w:val="24"/>
        </w:rPr>
      </w:pPr>
    </w:p>
    <w:p w:rsidR="00F66F24" w:rsidRDefault="00007BB2" w:rsidP="00007BB2">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DATA ANALYSIS</w:t>
      </w:r>
    </w:p>
    <w:p w:rsidR="00F66F24" w:rsidRDefault="00CC24CB" w:rsidP="00007BB2">
      <w:pPr>
        <w:pStyle w:val="ListParagraph"/>
        <w:ind w:left="0"/>
        <w:contextualSpacing/>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Determining the level of ant diversity in each type of land use, the Shanon-Wienner index was used with the help of Ecological Methodology 2nd Edition (Krebs, 2000). Wealth of </w:t>
      </w:r>
      <w:r>
        <w:rPr>
          <w:rFonts w:ascii="Times New Roman" w:eastAsia="Times New Roman" w:hAnsi="Times New Roman"/>
          <w:color w:val="000000" w:themeColor="text1"/>
          <w:sz w:val="24"/>
          <w:szCs w:val="24"/>
        </w:rPr>
        <w:t>ant types in each type of land use is known using the Margalef index (Ludwig and Reynold, 1988). Similar species composition of ants in each type of land use were analyzed using the Sorenson (Index of Similarity) index (Magurran, 2004). This index is calcu</w:t>
      </w:r>
      <w:r>
        <w:rPr>
          <w:rFonts w:ascii="Times New Roman" w:eastAsia="Times New Roman" w:hAnsi="Times New Roman"/>
          <w:color w:val="000000" w:themeColor="text1"/>
          <w:sz w:val="24"/>
          <w:szCs w:val="24"/>
        </w:rPr>
        <w:t>lated using the Biodiv 97 program which is a macro software for Microsoft Excel (Messer, 1997).</w:t>
      </w:r>
    </w:p>
    <w:p w:rsidR="00F66F24" w:rsidRDefault="00F66F24">
      <w:pPr>
        <w:pStyle w:val="ListParagraph"/>
        <w:spacing w:line="480" w:lineRule="auto"/>
        <w:ind w:left="0" w:firstLine="720"/>
        <w:contextualSpacing/>
        <w:jc w:val="both"/>
        <w:rPr>
          <w:rFonts w:ascii="Times New Roman" w:eastAsia="Times New Roman" w:hAnsi="Times New Roman"/>
          <w:color w:val="000000" w:themeColor="text1"/>
          <w:sz w:val="24"/>
          <w:szCs w:val="24"/>
        </w:rPr>
      </w:pPr>
    </w:p>
    <w:p w:rsidR="00F66F24" w:rsidRDefault="00CC24CB" w:rsidP="00CF2F44">
      <w:pPr>
        <w:pStyle w:val="ListParagraph"/>
        <w:spacing w:line="480" w:lineRule="auto"/>
        <w:ind w:left="0"/>
        <w:contextualSpacing/>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RESULT AND DISCUSSION</w:t>
      </w:r>
    </w:p>
    <w:p w:rsidR="00F66F24" w:rsidRDefault="00CC24CB">
      <w:pPr>
        <w:spacing w:line="48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Composition of Ants on Each Type of Land Usage</w:t>
      </w:r>
    </w:p>
    <w:p w:rsidR="00F66F24" w:rsidRDefault="00CC24CB">
      <w:pPr>
        <w:spacing w:line="48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composition of ants using three sampling methods can be seen in table 1 below</w:t>
      </w:r>
    </w:p>
    <w:p w:rsidR="00F66F24" w:rsidRDefault="00F66F24">
      <w:pPr>
        <w:spacing w:line="480" w:lineRule="auto"/>
        <w:jc w:val="both"/>
        <w:rPr>
          <w:rFonts w:ascii="Times New Roman" w:eastAsia="Times New Roman" w:hAnsi="Times New Roman"/>
          <w:color w:val="000000" w:themeColor="text1"/>
          <w:sz w:val="24"/>
          <w:szCs w:val="24"/>
        </w:rPr>
      </w:pPr>
    </w:p>
    <w:p w:rsidR="00F66F24" w:rsidRPr="00CB1287" w:rsidRDefault="00CC24CB">
      <w:pPr>
        <w:jc w:val="center"/>
        <w:rPr>
          <w:rFonts w:ascii="Times New Roman" w:eastAsia="Times New Roman" w:hAnsi="Times New Roman"/>
          <w:b/>
          <w:color w:val="000000" w:themeColor="text1"/>
          <w:sz w:val="24"/>
          <w:szCs w:val="24"/>
        </w:rPr>
      </w:pPr>
      <w:r w:rsidRPr="00CB1287">
        <w:rPr>
          <w:rFonts w:ascii="Times New Roman" w:eastAsia="Times New Roman" w:hAnsi="Times New Roman"/>
          <w:b/>
          <w:color w:val="000000" w:themeColor="text1"/>
          <w:sz w:val="24"/>
          <w:szCs w:val="24"/>
        </w:rPr>
        <w:t>Table 1</w:t>
      </w:r>
      <w:r w:rsidR="00CB1287" w:rsidRPr="00CB1287">
        <w:rPr>
          <w:rFonts w:ascii="Times New Roman" w:eastAsia="Times New Roman" w:hAnsi="Times New Roman"/>
          <w:b/>
          <w:color w:val="000000" w:themeColor="text1"/>
          <w:sz w:val="24"/>
          <w:szCs w:val="24"/>
        </w:rPr>
        <w:t>:</w:t>
      </w:r>
      <w:r w:rsidRPr="00CB1287">
        <w:rPr>
          <w:rFonts w:ascii="Times New Roman" w:eastAsia="Times New Roman" w:hAnsi="Times New Roman"/>
          <w:b/>
          <w:color w:val="000000" w:themeColor="text1"/>
          <w:sz w:val="24"/>
          <w:szCs w:val="24"/>
        </w:rPr>
        <w:t xml:space="preserve"> Number of Individuals of Ants on Two Land Use Types</w:t>
      </w:r>
    </w:p>
    <w:p w:rsidR="00F66F24" w:rsidRPr="00CB1287" w:rsidRDefault="00CC24CB">
      <w:pPr>
        <w:jc w:val="center"/>
        <w:rPr>
          <w:rFonts w:ascii="Times New Roman" w:eastAsia="Times New Roman" w:hAnsi="Times New Roman"/>
          <w:b/>
          <w:color w:val="000000" w:themeColor="text1"/>
          <w:sz w:val="24"/>
          <w:szCs w:val="24"/>
        </w:rPr>
      </w:pPr>
      <w:r w:rsidRPr="00CB1287">
        <w:rPr>
          <w:rFonts w:ascii="Times New Roman" w:eastAsia="Times New Roman" w:hAnsi="Times New Roman"/>
          <w:b/>
          <w:color w:val="000000" w:themeColor="text1"/>
          <w:sz w:val="24"/>
          <w:szCs w:val="24"/>
        </w:rPr>
        <w:t>In Sirimau Protected Forest Area Ambon</w:t>
      </w:r>
    </w:p>
    <w:tbl>
      <w:tblPr>
        <w:tblStyle w:val="TableGrid"/>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A0" w:firstRow="1" w:lastRow="0" w:firstColumn="1" w:lastColumn="0" w:noHBand="0" w:noVBand="1"/>
      </w:tblPr>
      <w:tblGrid>
        <w:gridCol w:w="1417"/>
        <w:gridCol w:w="854"/>
        <w:gridCol w:w="848"/>
        <w:gridCol w:w="1180"/>
        <w:gridCol w:w="848"/>
        <w:gridCol w:w="856"/>
        <w:gridCol w:w="848"/>
        <w:gridCol w:w="897"/>
        <w:gridCol w:w="848"/>
        <w:gridCol w:w="840"/>
      </w:tblGrid>
      <w:tr w:rsidR="00F66F24" w:rsidTr="00007BB2">
        <w:trPr>
          <w:trHeight w:val="328"/>
          <w:jc w:val="center"/>
        </w:trPr>
        <w:tc>
          <w:tcPr>
            <w:tcW w:w="1417" w:type="dxa"/>
            <w:tcBorders>
              <w:left w:val="nil"/>
            </w:tcBorders>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Type</w:t>
            </w:r>
          </w:p>
        </w:tc>
        <w:tc>
          <w:tcPr>
            <w:tcW w:w="854"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BT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BT</w:t>
            </w:r>
          </w:p>
        </w:tc>
        <w:tc>
          <w:tcPr>
            <w:tcW w:w="1180"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BT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BT</w:t>
            </w:r>
          </w:p>
        </w:tc>
        <w:tc>
          <w:tcPr>
            <w:tcW w:w="856"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HC</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HC</w:t>
            </w:r>
          </w:p>
        </w:tc>
        <w:tc>
          <w:tcPr>
            <w:tcW w:w="897"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PT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PT</w:t>
            </w:r>
          </w:p>
        </w:tc>
        <w:tc>
          <w:tcPr>
            <w:tcW w:w="840" w:type="dxa"/>
            <w:tcBorders>
              <w:right w:val="nil"/>
            </w:tcBorders>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Total</w:t>
            </w:r>
          </w:p>
        </w:tc>
      </w:tr>
      <w:tr w:rsidR="00F66F24" w:rsidTr="00007BB2">
        <w:trPr>
          <w:trHeight w:val="328"/>
          <w:jc w:val="center"/>
        </w:trPr>
        <w:tc>
          <w:tcPr>
            <w:tcW w:w="1417" w:type="dxa"/>
            <w:tcBorders>
              <w:left w:val="nil"/>
            </w:tcBorders>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Use</w:t>
            </w:r>
          </w:p>
        </w:tc>
        <w:tc>
          <w:tcPr>
            <w:tcW w:w="854"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Fish</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Fish</w:t>
            </w:r>
          </w:p>
        </w:tc>
        <w:tc>
          <w:tcPr>
            <w:tcW w:w="1180"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Sugar</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Sugar</w:t>
            </w:r>
          </w:p>
        </w:tc>
        <w:tc>
          <w:tcPr>
            <w:tcW w:w="856"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(Agst)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(Sept)</w:t>
            </w:r>
          </w:p>
        </w:tc>
        <w:tc>
          <w:tcPr>
            <w:tcW w:w="897"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(Agst)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(Sept)</w:t>
            </w:r>
          </w:p>
        </w:tc>
        <w:tc>
          <w:tcPr>
            <w:tcW w:w="840" w:type="dxa"/>
            <w:tcBorders>
              <w:right w:val="nil"/>
            </w:tcBorders>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r>
      <w:tr w:rsidR="00F66F24" w:rsidTr="00007BB2">
        <w:trPr>
          <w:trHeight w:val="352"/>
          <w:jc w:val="center"/>
        </w:trPr>
        <w:tc>
          <w:tcPr>
            <w:tcW w:w="1417" w:type="dxa"/>
            <w:tcBorders>
              <w:left w:val="nil"/>
            </w:tcBorders>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Land</w:t>
            </w:r>
          </w:p>
        </w:tc>
        <w:tc>
          <w:tcPr>
            <w:tcW w:w="854"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(Agst)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(Sept)</w:t>
            </w:r>
          </w:p>
        </w:tc>
        <w:tc>
          <w:tcPr>
            <w:tcW w:w="1180"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(Agst)</w:t>
            </w:r>
          </w:p>
        </w:tc>
        <w:tc>
          <w:tcPr>
            <w:tcW w:w="848" w:type="dxa"/>
            <w:shd w:val="clear" w:color="auto" w:fill="auto"/>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(Sept)</w:t>
            </w:r>
          </w:p>
        </w:tc>
        <w:tc>
          <w:tcPr>
            <w:tcW w:w="856" w:type="dxa"/>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c>
          <w:tcPr>
            <w:tcW w:w="848" w:type="dxa"/>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c>
          <w:tcPr>
            <w:tcW w:w="897" w:type="dxa"/>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c>
          <w:tcPr>
            <w:tcW w:w="848" w:type="dxa"/>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c>
          <w:tcPr>
            <w:tcW w:w="840" w:type="dxa"/>
            <w:tcBorders>
              <w:right w:val="nil"/>
            </w:tcBorders>
            <w:shd w:val="clear" w:color="auto" w:fill="auto"/>
            <w:vAlign w:val="center"/>
          </w:tcPr>
          <w:p w:rsidR="00F66F24" w:rsidRDefault="00F66F24">
            <w:pPr>
              <w:jc w:val="center"/>
              <w:rPr>
                <w:rFonts w:ascii="Times New Roman" w:eastAsia="Times New Roman" w:hAnsi="Times New Roman"/>
                <w:b/>
                <w:color w:val="000000" w:themeColor="text1"/>
                <w:sz w:val="24"/>
                <w:szCs w:val="24"/>
              </w:rPr>
            </w:pPr>
          </w:p>
        </w:tc>
      </w:tr>
      <w:tr w:rsidR="00F66F24" w:rsidTr="00007BB2">
        <w:trPr>
          <w:trHeight w:val="703"/>
          <w:jc w:val="center"/>
        </w:trPr>
        <w:tc>
          <w:tcPr>
            <w:tcW w:w="1417" w:type="dxa"/>
            <w:tcBorders>
              <w:left w:val="nil"/>
            </w:tcBorders>
            <w:vAlign w:val="center"/>
          </w:tcPr>
          <w:p w:rsidR="00F66F24" w:rsidRDefault="00CC24CB">
            <w:pP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Secondary Dry Land</w:t>
            </w:r>
          </w:p>
        </w:tc>
        <w:tc>
          <w:tcPr>
            <w:tcW w:w="854"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2027</w:t>
            </w:r>
          </w:p>
        </w:tc>
        <w:tc>
          <w:tcPr>
            <w:tcW w:w="848"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2281</w:t>
            </w:r>
          </w:p>
        </w:tc>
        <w:tc>
          <w:tcPr>
            <w:tcW w:w="1180"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1566</w:t>
            </w:r>
          </w:p>
        </w:tc>
        <w:tc>
          <w:tcPr>
            <w:tcW w:w="848"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1818</w:t>
            </w:r>
          </w:p>
        </w:tc>
        <w:tc>
          <w:tcPr>
            <w:tcW w:w="856"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15408</w:t>
            </w:r>
          </w:p>
        </w:tc>
        <w:tc>
          <w:tcPr>
            <w:tcW w:w="848"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16555</w:t>
            </w:r>
          </w:p>
        </w:tc>
        <w:tc>
          <w:tcPr>
            <w:tcW w:w="897"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3959</w:t>
            </w:r>
          </w:p>
        </w:tc>
        <w:tc>
          <w:tcPr>
            <w:tcW w:w="848" w:type="dxa"/>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4058</w:t>
            </w:r>
          </w:p>
        </w:tc>
        <w:tc>
          <w:tcPr>
            <w:tcW w:w="840" w:type="dxa"/>
            <w:tcBorders>
              <w:right w:val="nil"/>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47672</w:t>
            </w:r>
          </w:p>
        </w:tc>
      </w:tr>
      <w:tr w:rsidR="00F66F24" w:rsidTr="00007BB2">
        <w:trPr>
          <w:trHeight w:val="700"/>
          <w:jc w:val="center"/>
        </w:trPr>
        <w:tc>
          <w:tcPr>
            <w:tcW w:w="1417" w:type="dxa"/>
            <w:tcBorders>
              <w:left w:val="nil"/>
              <w:bottom w:val="single" w:sz="4" w:space="0" w:color="000000"/>
            </w:tcBorders>
            <w:vAlign w:val="center"/>
          </w:tcPr>
          <w:p w:rsidR="00F66F24" w:rsidRDefault="00CC24CB">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Agricultural</w:t>
            </w:r>
          </w:p>
          <w:p w:rsidR="00F66F24" w:rsidRDefault="00CC24CB">
            <w:pP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Dry land</w:t>
            </w:r>
          </w:p>
        </w:tc>
        <w:tc>
          <w:tcPr>
            <w:tcW w:w="854"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2327</w:t>
            </w:r>
          </w:p>
        </w:tc>
        <w:tc>
          <w:tcPr>
            <w:tcW w:w="848"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2450</w:t>
            </w:r>
          </w:p>
        </w:tc>
        <w:tc>
          <w:tcPr>
            <w:tcW w:w="1180"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2501</w:t>
            </w:r>
          </w:p>
        </w:tc>
        <w:tc>
          <w:tcPr>
            <w:tcW w:w="848"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2722</w:t>
            </w:r>
          </w:p>
        </w:tc>
        <w:tc>
          <w:tcPr>
            <w:tcW w:w="856"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20835</w:t>
            </w:r>
          </w:p>
        </w:tc>
        <w:tc>
          <w:tcPr>
            <w:tcW w:w="848"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21195</w:t>
            </w:r>
          </w:p>
        </w:tc>
        <w:tc>
          <w:tcPr>
            <w:tcW w:w="897"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6554</w:t>
            </w:r>
          </w:p>
        </w:tc>
        <w:tc>
          <w:tcPr>
            <w:tcW w:w="848" w:type="dxa"/>
            <w:tcBorders>
              <w:bottom w:val="single" w:sz="4" w:space="0" w:color="000000"/>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6829</w:t>
            </w:r>
          </w:p>
        </w:tc>
        <w:tc>
          <w:tcPr>
            <w:tcW w:w="840" w:type="dxa"/>
            <w:tcBorders>
              <w:bottom w:val="single" w:sz="4" w:space="0" w:color="000000"/>
              <w:right w:val="nil"/>
            </w:tcBorders>
            <w:vAlign w:val="center"/>
          </w:tcPr>
          <w:p w:rsidR="00F66F24" w:rsidRDefault="00CC24CB">
            <w:pPr>
              <w:jc w:val="center"/>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65413</w:t>
            </w:r>
          </w:p>
        </w:tc>
      </w:tr>
      <w:tr w:rsidR="00F66F24">
        <w:trPr>
          <w:trHeight w:val="700"/>
          <w:jc w:val="center"/>
        </w:trPr>
        <w:tc>
          <w:tcPr>
            <w:tcW w:w="9436" w:type="dxa"/>
            <w:gridSpan w:val="10"/>
            <w:tcBorders>
              <w:left w:val="nil"/>
              <w:bottom w:val="nil"/>
              <w:right w:val="nil"/>
            </w:tcBorders>
            <w:vAlign w:val="center"/>
          </w:tcPr>
          <w:p w:rsidR="00F66F24" w:rsidRDefault="00CC24CB" w:rsidP="00007BB2">
            <w:pPr>
              <w:pStyle w:val="ListParagraph"/>
              <w:spacing w:line="360" w:lineRule="auto"/>
              <w:ind w:left="0"/>
              <w:contextualSpacing/>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Information :</w:t>
            </w:r>
            <w:r w:rsidR="00007BB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BT: Bait Trap, HC: Hand Collecting, PT: Pitfall Trap</w:t>
            </w:r>
          </w:p>
        </w:tc>
      </w:tr>
    </w:tbl>
    <w:p w:rsidR="00F66F24" w:rsidRDefault="00D815D8" w:rsidP="00007BB2">
      <w:pPr>
        <w:spacing w:after="240"/>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br/>
      </w:r>
      <w:r w:rsidR="00CC24CB">
        <w:rPr>
          <w:rFonts w:ascii="Times New Roman" w:eastAsia="Times New Roman" w:hAnsi="Times New Roman"/>
          <w:color w:val="000000" w:themeColor="text1"/>
          <w:sz w:val="24"/>
          <w:szCs w:val="24"/>
        </w:rPr>
        <w:t>The table above shows that the largest number of individuals found in dry land farming areas. The high number of individual ants in the dry land farming area is due to the sample size for this type of land is 11.7 km higher than the secondary dry land of o</w:t>
      </w:r>
      <w:r w:rsidR="00CC24CB">
        <w:rPr>
          <w:rFonts w:ascii="Times New Roman" w:eastAsia="Times New Roman" w:hAnsi="Times New Roman"/>
          <w:color w:val="000000" w:themeColor="text1"/>
          <w:sz w:val="24"/>
          <w:szCs w:val="24"/>
        </w:rPr>
        <w:t>nly 7.82 km. On the other hand, many of the ants found in dry land farming areas are thought to be a type of bush use providing a suitable habitat for ant life including the availability of adequate food and the temperature factor and moisture of the micro</w:t>
      </w:r>
      <w:r w:rsidR="00CC24CB">
        <w:rPr>
          <w:rFonts w:ascii="Times New Roman" w:eastAsia="Times New Roman" w:hAnsi="Times New Roman"/>
          <w:color w:val="000000" w:themeColor="text1"/>
          <w:sz w:val="24"/>
          <w:szCs w:val="24"/>
        </w:rPr>
        <w:t xml:space="preserve"> air in accordance with the life of the ants therein. This is in accordance with the opinion Rahmawati (2007) that macro fauna of land including ants will be more dominant in areas with appropriate food sources and climatic conditions that support. The opt</w:t>
      </w:r>
      <w:r w:rsidR="00CC24CB">
        <w:rPr>
          <w:rFonts w:ascii="Times New Roman" w:eastAsia="Times New Roman" w:hAnsi="Times New Roman"/>
          <w:color w:val="000000" w:themeColor="text1"/>
          <w:sz w:val="24"/>
          <w:szCs w:val="24"/>
        </w:rPr>
        <w:t>imum air temperature for ants for daily activities ranges from 27 - 29 ˚C.</w:t>
      </w:r>
    </w:p>
    <w:p w:rsidR="00F66F24" w:rsidRDefault="00CC24CB" w:rsidP="00007BB2">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results of micro climate measurements on two types of land use show the average air temperature in dry land agriculture in August month of 28.1 ˚C - 28.9 ˚C and in September ran</w:t>
      </w:r>
      <w:r>
        <w:rPr>
          <w:rFonts w:ascii="Times New Roman" w:eastAsia="Times New Roman" w:hAnsi="Times New Roman"/>
          <w:color w:val="000000" w:themeColor="text1"/>
          <w:sz w:val="24"/>
          <w:szCs w:val="24"/>
        </w:rPr>
        <w:t xml:space="preserve">ged from 28.2 ˚C - 29.3 ˚C. The air temperature in the secondary dry land area in the month </w:t>
      </w:r>
      <w:r>
        <w:rPr>
          <w:rFonts w:ascii="Times New Roman" w:eastAsia="Times New Roman" w:hAnsi="Times New Roman"/>
          <w:color w:val="000000" w:themeColor="text1"/>
          <w:sz w:val="24"/>
          <w:szCs w:val="24"/>
        </w:rPr>
        <w:lastRenderedPageBreak/>
        <w:t>of Agus is 28.1 - 28.7 ˚C and in September it reached 28.2 ˚C - 28.9 ˚C. Differences in air temperature also affect the life of ants, because at low temperatures th</w:t>
      </w:r>
      <w:r>
        <w:rPr>
          <w:rFonts w:ascii="Times New Roman" w:eastAsia="Times New Roman" w:hAnsi="Times New Roman"/>
          <w:color w:val="000000" w:themeColor="text1"/>
          <w:sz w:val="24"/>
          <w:szCs w:val="24"/>
        </w:rPr>
        <w:t>e activity of feeding will decrease compared to high temperatures. On the other hand the availability of food sources ie vegetation is available in dry land farming areas are more varied and much preferred by ants because it is a fruit plant - a lot of sug</w:t>
      </w:r>
      <w:r>
        <w:rPr>
          <w:rFonts w:ascii="Times New Roman" w:eastAsia="Times New Roman" w:hAnsi="Times New Roman"/>
          <w:color w:val="000000" w:themeColor="text1"/>
          <w:sz w:val="24"/>
          <w:szCs w:val="24"/>
        </w:rPr>
        <w:t>ar contained in a very liked by ants.</w:t>
      </w:r>
    </w:p>
    <w:p w:rsidR="00F66F24" w:rsidRDefault="00CC24CB" w:rsidP="00007BB2">
      <w:pPr>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Based on the sampling method, it is found the largest number of species obtained by Hand collecting method followed by Pitfall Trap, Bait trap (Fish) and Bait Trap (Sugar). The high number of individuals and the number</w:t>
      </w:r>
      <w:r>
        <w:rPr>
          <w:rFonts w:ascii="Times New Roman" w:eastAsia="Times New Roman" w:hAnsi="Times New Roman"/>
          <w:color w:val="000000" w:themeColor="text1"/>
          <w:sz w:val="24"/>
          <w:szCs w:val="24"/>
        </w:rPr>
        <w:t xml:space="preserve"> of species with Hand collecting method is caused by this method we can find the ants freely above the ground, behind the rocks, under the pile of wood, below litter and in vegetation. On the other hand the hand collecting method is quite effective because</w:t>
      </w:r>
      <w:r>
        <w:rPr>
          <w:rFonts w:ascii="Times New Roman" w:eastAsia="Times New Roman" w:hAnsi="Times New Roman"/>
          <w:color w:val="000000" w:themeColor="text1"/>
          <w:sz w:val="24"/>
          <w:szCs w:val="24"/>
        </w:rPr>
        <w:t xml:space="preserve"> it is not limited by the number of sample plot points when compared to the other two methods using plot sampling in each type of land use. (Table 2)</w:t>
      </w:r>
    </w:p>
    <w:p w:rsidR="00F66F24" w:rsidRDefault="00CB1287" w:rsidP="00CB1287">
      <w:pPr>
        <w:pStyle w:val="ListParagraph"/>
        <w:ind w:left="0"/>
        <w:contextualSpacing/>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Table 2</w:t>
      </w:r>
      <w:bookmarkStart w:id="0" w:name="_GoBack"/>
      <w:bookmarkEnd w:id="0"/>
      <w:r>
        <w:rPr>
          <w:rFonts w:ascii="Times New Roman" w:eastAsia="Times New Roman" w:hAnsi="Times New Roman"/>
          <w:b/>
          <w:color w:val="000000" w:themeColor="text1"/>
          <w:sz w:val="24"/>
          <w:szCs w:val="24"/>
        </w:rPr>
        <w:t>:</w:t>
      </w:r>
      <w:r w:rsidR="00CC24CB">
        <w:rPr>
          <w:rFonts w:ascii="Times New Roman" w:eastAsia="Times New Roman" w:hAnsi="Times New Roman"/>
          <w:b/>
          <w:color w:val="000000" w:themeColor="text1"/>
          <w:sz w:val="24"/>
          <w:szCs w:val="24"/>
        </w:rPr>
        <w:t xml:space="preserve"> Number of Ant Types Based on Sampling Method</w:t>
      </w:r>
    </w:p>
    <w:tbl>
      <w:tblPr>
        <w:tblStyle w:val="TableGrid"/>
        <w:tblW w:w="9517" w:type="dxa"/>
        <w:jc w:val="cente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1922"/>
        <w:gridCol w:w="821"/>
        <w:gridCol w:w="737"/>
        <w:gridCol w:w="817"/>
        <w:gridCol w:w="927"/>
        <w:gridCol w:w="840"/>
        <w:gridCol w:w="822"/>
        <w:gridCol w:w="840"/>
        <w:gridCol w:w="789"/>
        <w:gridCol w:w="1002"/>
      </w:tblGrid>
      <w:tr w:rsidR="00F66F24" w:rsidTr="00007BB2">
        <w:trPr>
          <w:trHeight w:val="286"/>
          <w:jc w:val="center"/>
        </w:trPr>
        <w:tc>
          <w:tcPr>
            <w:tcW w:w="1922" w:type="dxa"/>
            <w:vMerge w:val="restart"/>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Tipe Lahan</w:t>
            </w:r>
          </w:p>
        </w:tc>
        <w:tc>
          <w:tcPr>
            <w:tcW w:w="1558" w:type="dxa"/>
            <w:gridSpan w:val="2"/>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BT Ikan</w:t>
            </w:r>
          </w:p>
        </w:tc>
        <w:tc>
          <w:tcPr>
            <w:tcW w:w="1744" w:type="dxa"/>
            <w:gridSpan w:val="2"/>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BT Gula</w:t>
            </w:r>
          </w:p>
        </w:tc>
        <w:tc>
          <w:tcPr>
            <w:tcW w:w="1662" w:type="dxa"/>
            <w:gridSpan w:val="2"/>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Hand Collectin</w:t>
            </w:r>
            <w:r>
              <w:rPr>
                <w:rFonts w:ascii="Times New Roman" w:eastAsia="Times New Roman" w:hAnsi="Times New Roman"/>
                <w:b/>
                <w:color w:val="000000" w:themeColor="text1"/>
                <w:sz w:val="24"/>
                <w:szCs w:val="24"/>
              </w:rPr>
              <w:t>g</w:t>
            </w:r>
          </w:p>
        </w:tc>
        <w:tc>
          <w:tcPr>
            <w:tcW w:w="1629" w:type="dxa"/>
            <w:gridSpan w:val="2"/>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Pitfall Trap</w:t>
            </w:r>
          </w:p>
        </w:tc>
        <w:tc>
          <w:tcPr>
            <w:tcW w:w="1002" w:type="dxa"/>
            <w:vMerge w:val="restart"/>
            <w:shd w:val="clear" w:color="auto" w:fill="auto"/>
            <w:vAlign w:val="center"/>
          </w:tcPr>
          <w:p w:rsidR="00F66F24" w:rsidRDefault="00CC24CB">
            <w:pPr>
              <w:jc w:val="center"/>
              <w:rPr>
                <w:rFonts w:ascii="Times New Roman" w:eastAsia="Times New Roman" w:hAnsi="Times New Roman"/>
                <w:b/>
                <w:color w:val="000000" w:themeColor="text1"/>
                <w:spacing w:val="2"/>
                <w:sz w:val="24"/>
                <w:szCs w:val="24"/>
              </w:rPr>
            </w:pPr>
            <w:r>
              <w:rPr>
                <w:rFonts w:ascii="Times New Roman" w:eastAsia="Times New Roman" w:hAnsi="Times New Roman"/>
                <w:b/>
                <w:color w:val="000000" w:themeColor="text1"/>
                <w:spacing w:val="2"/>
                <w:sz w:val="24"/>
                <w:szCs w:val="24"/>
              </w:rPr>
              <w:t>Jumlah</w:t>
            </w:r>
          </w:p>
        </w:tc>
      </w:tr>
      <w:tr w:rsidR="00F66F24" w:rsidTr="00007BB2">
        <w:trPr>
          <w:trHeight w:val="154"/>
          <w:jc w:val="center"/>
        </w:trPr>
        <w:tc>
          <w:tcPr>
            <w:tcW w:w="1922" w:type="dxa"/>
            <w:vMerge/>
            <w:shd w:val="clear" w:color="auto" w:fill="auto"/>
            <w:vAlign w:val="center"/>
          </w:tcPr>
          <w:p w:rsidR="00F66F24" w:rsidRDefault="00F66F24"/>
        </w:tc>
        <w:tc>
          <w:tcPr>
            <w:tcW w:w="821"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Agst</w:t>
            </w:r>
          </w:p>
        </w:tc>
        <w:tc>
          <w:tcPr>
            <w:tcW w:w="73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Sept</w:t>
            </w:r>
          </w:p>
        </w:tc>
        <w:tc>
          <w:tcPr>
            <w:tcW w:w="81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Agst</w:t>
            </w:r>
          </w:p>
        </w:tc>
        <w:tc>
          <w:tcPr>
            <w:tcW w:w="92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Sept</w:t>
            </w:r>
          </w:p>
        </w:tc>
        <w:tc>
          <w:tcPr>
            <w:tcW w:w="840"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Agst</w:t>
            </w:r>
          </w:p>
        </w:tc>
        <w:tc>
          <w:tcPr>
            <w:tcW w:w="822"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Sept</w:t>
            </w:r>
          </w:p>
        </w:tc>
        <w:tc>
          <w:tcPr>
            <w:tcW w:w="840"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Agst</w:t>
            </w:r>
          </w:p>
        </w:tc>
        <w:tc>
          <w:tcPr>
            <w:tcW w:w="789"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Sept</w:t>
            </w:r>
          </w:p>
        </w:tc>
        <w:tc>
          <w:tcPr>
            <w:tcW w:w="1002" w:type="dxa"/>
            <w:vMerge/>
            <w:shd w:val="clear" w:color="auto" w:fill="auto"/>
            <w:vAlign w:val="center"/>
          </w:tcPr>
          <w:p w:rsidR="00F66F24" w:rsidRDefault="00F66F24"/>
        </w:tc>
      </w:tr>
      <w:tr w:rsidR="00F66F24" w:rsidTr="00007BB2">
        <w:trPr>
          <w:trHeight w:val="518"/>
          <w:jc w:val="center"/>
        </w:trPr>
        <w:tc>
          <w:tcPr>
            <w:tcW w:w="1922" w:type="dxa"/>
            <w:shd w:val="clear" w:color="auto" w:fill="auto"/>
            <w:vAlign w:val="center"/>
          </w:tcPr>
          <w:p w:rsidR="00F66F24" w:rsidRDefault="00CC24CB">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Secondary Dry Land</w:t>
            </w:r>
          </w:p>
        </w:tc>
        <w:tc>
          <w:tcPr>
            <w:tcW w:w="821"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13</w:t>
            </w:r>
          </w:p>
        </w:tc>
        <w:tc>
          <w:tcPr>
            <w:tcW w:w="73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15</w:t>
            </w:r>
          </w:p>
        </w:tc>
        <w:tc>
          <w:tcPr>
            <w:tcW w:w="81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13</w:t>
            </w:r>
          </w:p>
        </w:tc>
        <w:tc>
          <w:tcPr>
            <w:tcW w:w="927"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15</w:t>
            </w:r>
          </w:p>
        </w:tc>
        <w:tc>
          <w:tcPr>
            <w:tcW w:w="840"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21</w:t>
            </w:r>
          </w:p>
        </w:tc>
        <w:tc>
          <w:tcPr>
            <w:tcW w:w="822"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21</w:t>
            </w:r>
          </w:p>
        </w:tc>
        <w:tc>
          <w:tcPr>
            <w:tcW w:w="840"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18</w:t>
            </w:r>
          </w:p>
        </w:tc>
        <w:tc>
          <w:tcPr>
            <w:tcW w:w="789"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20</w:t>
            </w:r>
          </w:p>
        </w:tc>
        <w:tc>
          <w:tcPr>
            <w:tcW w:w="1002" w:type="dxa"/>
            <w:shd w:val="clear" w:color="auto" w:fill="auto"/>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136</w:t>
            </w:r>
          </w:p>
        </w:tc>
      </w:tr>
      <w:tr w:rsidR="00F66F24" w:rsidTr="00007BB2">
        <w:trPr>
          <w:trHeight w:val="372"/>
          <w:jc w:val="center"/>
        </w:trPr>
        <w:tc>
          <w:tcPr>
            <w:tcW w:w="1922" w:type="dxa"/>
            <w:vAlign w:val="center"/>
          </w:tcPr>
          <w:p w:rsidR="00F66F24" w:rsidRDefault="00CC24CB">
            <w:pP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Agricultural Dry Land</w:t>
            </w:r>
          </w:p>
        </w:tc>
        <w:tc>
          <w:tcPr>
            <w:tcW w:w="821"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17</w:t>
            </w:r>
          </w:p>
        </w:tc>
        <w:tc>
          <w:tcPr>
            <w:tcW w:w="73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18</w:t>
            </w:r>
          </w:p>
        </w:tc>
        <w:tc>
          <w:tcPr>
            <w:tcW w:w="81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18</w:t>
            </w:r>
          </w:p>
        </w:tc>
        <w:tc>
          <w:tcPr>
            <w:tcW w:w="92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18</w:t>
            </w:r>
          </w:p>
        </w:tc>
        <w:tc>
          <w:tcPr>
            <w:tcW w:w="840"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34</w:t>
            </w:r>
          </w:p>
        </w:tc>
        <w:tc>
          <w:tcPr>
            <w:tcW w:w="822"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31</w:t>
            </w:r>
          </w:p>
        </w:tc>
        <w:tc>
          <w:tcPr>
            <w:tcW w:w="840"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24</w:t>
            </w:r>
          </w:p>
        </w:tc>
        <w:tc>
          <w:tcPr>
            <w:tcW w:w="789"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21</w:t>
            </w:r>
          </w:p>
        </w:tc>
        <w:tc>
          <w:tcPr>
            <w:tcW w:w="1002"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181</w:t>
            </w:r>
          </w:p>
        </w:tc>
      </w:tr>
      <w:tr w:rsidR="00F66F24" w:rsidTr="00007BB2">
        <w:trPr>
          <w:trHeight w:val="304"/>
          <w:jc w:val="center"/>
        </w:trPr>
        <w:tc>
          <w:tcPr>
            <w:tcW w:w="1922"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b/>
                <w:color w:val="000000" w:themeColor="text1"/>
                <w:sz w:val="24"/>
                <w:szCs w:val="24"/>
              </w:rPr>
              <w:t>Total</w:t>
            </w:r>
          </w:p>
        </w:tc>
        <w:tc>
          <w:tcPr>
            <w:tcW w:w="821"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30</w:t>
            </w:r>
          </w:p>
        </w:tc>
        <w:tc>
          <w:tcPr>
            <w:tcW w:w="73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33</w:t>
            </w:r>
          </w:p>
        </w:tc>
        <w:tc>
          <w:tcPr>
            <w:tcW w:w="81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31</w:t>
            </w:r>
          </w:p>
        </w:tc>
        <w:tc>
          <w:tcPr>
            <w:tcW w:w="927"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33</w:t>
            </w:r>
          </w:p>
        </w:tc>
        <w:tc>
          <w:tcPr>
            <w:tcW w:w="840"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55</w:t>
            </w:r>
          </w:p>
        </w:tc>
        <w:tc>
          <w:tcPr>
            <w:tcW w:w="822"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52</w:t>
            </w:r>
          </w:p>
        </w:tc>
        <w:tc>
          <w:tcPr>
            <w:tcW w:w="840"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42</w:t>
            </w:r>
          </w:p>
        </w:tc>
        <w:tc>
          <w:tcPr>
            <w:tcW w:w="789"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41</w:t>
            </w:r>
          </w:p>
        </w:tc>
        <w:tc>
          <w:tcPr>
            <w:tcW w:w="1002" w:type="dxa"/>
            <w:vAlign w:val="center"/>
          </w:tcPr>
          <w:p w:rsidR="00F66F24" w:rsidRDefault="00CC24CB">
            <w:pPr>
              <w:jc w:val="center"/>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317</w:t>
            </w:r>
          </w:p>
        </w:tc>
      </w:tr>
    </w:tbl>
    <w:p w:rsidR="00F66F24" w:rsidRDefault="00CC24CB" w:rsidP="00A104DF">
      <w:pPr>
        <w:spacing w:after="240"/>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2"/>
          <w:sz w:val="24"/>
          <w:szCs w:val="24"/>
        </w:rPr>
        <w:br/>
      </w:r>
      <w:r w:rsidR="00A104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The results of the primary data from the table above shows that the number of ant species on dry land farms is higher by Hand collecting method than in secondary dry land with other methods. For type of dryland farming in August it is dominated by </w:t>
      </w:r>
      <w:r>
        <w:rPr>
          <w:rFonts w:ascii="Times New Roman" w:eastAsia="Times New Roman" w:hAnsi="Times New Roman"/>
          <w:i/>
          <w:color w:val="000000" w:themeColor="text1"/>
          <w:sz w:val="24"/>
          <w:szCs w:val="24"/>
        </w:rPr>
        <w:t>Polirachis belicossa</w:t>
      </w:r>
      <w:r>
        <w:rPr>
          <w:rFonts w:ascii="Times New Roman" w:eastAsia="Times New Roman" w:hAnsi="Times New Roman"/>
          <w:color w:val="000000" w:themeColor="text1"/>
          <w:sz w:val="24"/>
          <w:szCs w:val="24"/>
        </w:rPr>
        <w:t xml:space="preserve"> and September by </w:t>
      </w:r>
      <w:r>
        <w:rPr>
          <w:rFonts w:ascii="Times New Roman" w:eastAsia="Times New Roman" w:hAnsi="Times New Roman"/>
          <w:i/>
          <w:color w:val="000000" w:themeColor="text1"/>
          <w:sz w:val="24"/>
          <w:szCs w:val="24"/>
        </w:rPr>
        <w:t>Echinopla lineata - lineata</w:t>
      </w:r>
      <w:r>
        <w:rPr>
          <w:rFonts w:ascii="Times New Roman" w:eastAsia="Times New Roman" w:hAnsi="Times New Roman"/>
          <w:color w:val="000000" w:themeColor="text1"/>
          <w:sz w:val="24"/>
          <w:szCs w:val="24"/>
        </w:rPr>
        <w:t>. The high presence of these individuals is thought to be associated with a considerable source of food in dry land farming compared to secondary land of protein and glucose in fruit crops.</w:t>
      </w:r>
    </w:p>
    <w:p w:rsidR="00F66F24" w:rsidRDefault="00CC24CB" w:rsidP="00A104DF">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rPr>
        <w:t>t is suspected that the ability to find food from Polirachis belicossa is higher than other species in the area so that it influences the reproduction activity of female ants to produce new individuals in the community. The other side of the level of compe</w:t>
      </w:r>
      <w:r>
        <w:rPr>
          <w:rFonts w:ascii="Times New Roman" w:eastAsia="Times New Roman" w:hAnsi="Times New Roman"/>
          <w:color w:val="000000" w:themeColor="text1"/>
          <w:sz w:val="24"/>
          <w:szCs w:val="24"/>
        </w:rPr>
        <w:t>tition between ant types in the area is allegedly low allowing ants to remain in stable condition. High levels of ant population in one habitat are affected by competition factors, especially food and cruising areas where stronger ant species will monopoli</w:t>
      </w:r>
      <w:r>
        <w:rPr>
          <w:rFonts w:ascii="Times New Roman" w:eastAsia="Times New Roman" w:hAnsi="Times New Roman"/>
          <w:color w:val="000000" w:themeColor="text1"/>
          <w:sz w:val="24"/>
          <w:szCs w:val="24"/>
        </w:rPr>
        <w:t>ze food sources and roaming areas. Usually ant Polirachis belicossa and Echinopla lineata - lineata. is a stronger ant species in maintaining their territory so that their colony is stronger and will contribute to competition for food sources. Brühl et al.</w:t>
      </w:r>
      <w:r>
        <w:rPr>
          <w:rFonts w:ascii="Times New Roman" w:eastAsia="Times New Roman" w:hAnsi="Times New Roman"/>
          <w:color w:val="000000" w:themeColor="text1"/>
          <w:sz w:val="24"/>
          <w:szCs w:val="24"/>
        </w:rPr>
        <w:t xml:space="preserve"> (1998),</w:t>
      </w:r>
    </w:p>
    <w:p w:rsidR="00F66F24" w:rsidRDefault="00CC24CB" w:rsidP="00A104DF">
      <w:pPr>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On secondary dry land is dominated by Meranoplus bicolor in August and Crematogaster ampularis in September. The dominance of these two species in the region is related to the availability of suitable food sources for them including Acacia mangium</w:t>
      </w:r>
      <w:r>
        <w:rPr>
          <w:rFonts w:ascii="Times New Roman" w:eastAsia="Times New Roman" w:hAnsi="Times New Roman"/>
          <w:color w:val="000000" w:themeColor="text1"/>
          <w:sz w:val="24"/>
          <w:szCs w:val="24"/>
        </w:rPr>
        <w:t xml:space="preserve"> trees, Pulai (Alstonia scholaris) found very much in this secondary dry land area because these two trees produce </w:t>
      </w:r>
      <w:r>
        <w:rPr>
          <w:rFonts w:ascii="Times New Roman" w:eastAsia="Times New Roman" w:hAnsi="Times New Roman"/>
          <w:color w:val="000000" w:themeColor="text1"/>
          <w:sz w:val="24"/>
          <w:szCs w:val="24"/>
        </w:rPr>
        <w:lastRenderedPageBreak/>
        <w:t>nectar which has a very sweet taste favored by Meranoplus bicolor and Crematogaster ampularis. Research conducted by Graham.S.Law (2007) foun</w:t>
      </w:r>
      <w:r>
        <w:rPr>
          <w:rFonts w:ascii="Times New Roman" w:eastAsia="Times New Roman" w:hAnsi="Times New Roman"/>
          <w:color w:val="000000" w:themeColor="text1"/>
          <w:sz w:val="24"/>
          <w:szCs w:val="24"/>
        </w:rPr>
        <w:t xml:space="preserve">d that the ants of the genus Crematogaster and Meranoplus generally like trees that produce sweet liquids with </w:t>
      </w:r>
      <w:r>
        <w:rPr>
          <w:rFonts w:ascii="Times New Roman" w:eastAsia="Times New Roman" w:hAnsi="Times New Roman"/>
          <w:color w:val="000000" w:themeColor="text1"/>
          <w:sz w:val="24"/>
          <w:szCs w:val="24"/>
        </w:rPr>
        <w:t>protein and carbohydrate content.</w:t>
      </w:r>
    </w:p>
    <w:p w:rsidR="00F66F24" w:rsidRDefault="00007BB2" w:rsidP="00A104DF">
      <w:pPr>
        <w:spacing w:after="200" w:line="480" w:lineRule="auto"/>
        <w:jc w:val="center"/>
        <w:rPr>
          <w:rFonts w:ascii="Times New Roman" w:eastAsia="Times New Roman" w:hAnsi="Times New Roman"/>
          <w:b/>
          <w:color w:val="000000" w:themeColor="text1"/>
          <w:sz w:val="24"/>
          <w:szCs w:val="24"/>
        </w:rPr>
      </w:pPr>
      <w:r>
        <w:rPr>
          <w:noProof/>
        </w:rPr>
        <w:drawing>
          <wp:anchor distT="0" distB="0" distL="114300" distR="114300" simplePos="0" relativeHeight="251624962" behindDoc="0" locked="0" layoutInCell="1" allowOverlap="1" wp14:anchorId="0722D3F6" wp14:editId="5E2A3BBD">
            <wp:simplePos x="0" y="0"/>
            <wp:positionH relativeFrom="column">
              <wp:posOffset>640080</wp:posOffset>
            </wp:positionH>
            <wp:positionV relativeFrom="paragraph">
              <wp:posOffset>223520</wp:posOffset>
            </wp:positionV>
            <wp:extent cx="4410075" cy="2533650"/>
            <wp:effectExtent l="0" t="0" r="9525" b="0"/>
            <wp:wrapTight wrapText="bothSides">
              <wp:wrapPolygon edited="0">
                <wp:start x="0" y="0"/>
                <wp:lineTo x="0" y="21438"/>
                <wp:lineTo x="21553" y="21438"/>
                <wp:lineTo x="21553" y="0"/>
                <wp:lineTo x="0" y="0"/>
              </wp:wrapPolygon>
            </wp:wrapTight>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410075" cy="2533650"/>
                    </a:xfrm>
                    <a:prstGeom prst="rect">
                      <a:avLst/>
                    </a:prstGeom>
                    <a:ln cap="flat"/>
                  </pic:spPr>
                </pic:pic>
              </a:graphicData>
            </a:graphic>
          </wp:anchor>
        </w:drawing>
      </w:r>
      <w:r w:rsidR="00A104DF">
        <w:rPr>
          <w:rFonts w:ascii="Times New Roman" w:eastAsia="Times New Roman" w:hAnsi="Times New Roman"/>
          <w:b/>
          <w:color w:val="000000" w:themeColor="text1"/>
          <w:sz w:val="24"/>
          <w:szCs w:val="24"/>
        </w:rPr>
        <w:t>THE DIVERSITY OF ANTS IN THE AREA</w:t>
      </w:r>
    </w:p>
    <w:p w:rsidR="00F66F24" w:rsidRDefault="00F66F24">
      <w:pPr>
        <w:spacing w:after="200" w:line="480" w:lineRule="auto"/>
        <w:rPr>
          <w:rFonts w:ascii="Times New Roman" w:eastAsia="Times New Roman" w:hAnsi="Times New Roman"/>
          <w:b/>
          <w:color w:val="000000" w:themeColor="text1"/>
          <w:sz w:val="24"/>
          <w:szCs w:val="24"/>
        </w:rPr>
      </w:pPr>
    </w:p>
    <w:p w:rsidR="00F66F24" w:rsidRDefault="00F66F24">
      <w:pPr>
        <w:spacing w:after="200" w:line="480" w:lineRule="auto"/>
        <w:rPr>
          <w:rFonts w:ascii="Times New Roman" w:eastAsia="Times New Roman" w:hAnsi="Times New Roman"/>
          <w:b/>
          <w:color w:val="000000" w:themeColor="text1"/>
          <w:sz w:val="24"/>
          <w:szCs w:val="24"/>
        </w:rPr>
      </w:pPr>
    </w:p>
    <w:p w:rsidR="00007BB2" w:rsidRDefault="00007BB2">
      <w:pPr>
        <w:spacing w:after="200" w:line="480" w:lineRule="auto"/>
        <w:rPr>
          <w:rFonts w:ascii="Times New Roman" w:eastAsia="Times New Roman" w:hAnsi="Times New Roman"/>
          <w:b/>
          <w:color w:val="000000" w:themeColor="text1"/>
          <w:sz w:val="24"/>
          <w:szCs w:val="24"/>
        </w:rPr>
      </w:pPr>
    </w:p>
    <w:p w:rsidR="00007BB2" w:rsidRDefault="00007BB2">
      <w:pPr>
        <w:spacing w:after="200" w:line="480" w:lineRule="auto"/>
        <w:rPr>
          <w:rFonts w:ascii="Times New Roman" w:eastAsia="Times New Roman" w:hAnsi="Times New Roman"/>
          <w:b/>
          <w:color w:val="000000" w:themeColor="text1"/>
          <w:sz w:val="24"/>
          <w:szCs w:val="24"/>
        </w:rPr>
      </w:pPr>
    </w:p>
    <w:p w:rsidR="00007BB2" w:rsidRDefault="00007BB2">
      <w:pPr>
        <w:spacing w:after="200" w:line="480" w:lineRule="auto"/>
        <w:rPr>
          <w:rFonts w:ascii="Times New Roman" w:eastAsia="Times New Roman" w:hAnsi="Times New Roman"/>
          <w:b/>
          <w:color w:val="000000" w:themeColor="text1"/>
          <w:sz w:val="24"/>
          <w:szCs w:val="24"/>
        </w:rPr>
      </w:pPr>
    </w:p>
    <w:p w:rsidR="00F66F24" w:rsidRDefault="00CC24CB">
      <w:pPr>
        <w:spacing w:line="480" w:lineRule="auto"/>
        <w:ind w:firstLine="993"/>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Graph 1. Diversity of Ants in Sirimau Protected Forest Area Ambon</w:t>
      </w:r>
    </w:p>
    <w:p w:rsidR="00F66F24" w:rsidRDefault="00CC24CB" w:rsidP="00A104DF">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results of the graph above show that there are differences in the diversity between the two types of land use in two areas. Dry land farms have a higher diversity index than in the secondary dry lands of 3.67 in August and 3.59 in September which are h</w:t>
      </w:r>
      <w:r>
        <w:rPr>
          <w:rFonts w:ascii="Times New Roman" w:eastAsia="Times New Roman" w:hAnsi="Times New Roman"/>
          <w:color w:val="000000" w:themeColor="text1"/>
          <w:sz w:val="24"/>
          <w:szCs w:val="24"/>
        </w:rPr>
        <w:t>igh and in secondary dry land forests of 3.33 in August and 3.31 in September are also high. The value of this diversity index shows that in both areas ant diversity is very high with the spread of the number of individuals of each type high with the level</w:t>
      </w:r>
      <w:r>
        <w:rPr>
          <w:rFonts w:ascii="Times New Roman" w:eastAsia="Times New Roman" w:hAnsi="Times New Roman"/>
          <w:color w:val="000000" w:themeColor="text1"/>
          <w:sz w:val="24"/>
          <w:szCs w:val="24"/>
        </w:rPr>
        <w:t xml:space="preserve"> of community stability is also quite high. This is allegedly related to the variance of the availability of food sources in dry land farming areas is higher than in secondary dry land. In the dry land farming area, there are many fruit trees that produce </w:t>
      </w:r>
      <w:r>
        <w:rPr>
          <w:rFonts w:ascii="Times New Roman" w:eastAsia="Times New Roman" w:hAnsi="Times New Roman"/>
          <w:color w:val="000000" w:themeColor="text1"/>
          <w:sz w:val="24"/>
          <w:szCs w:val="24"/>
        </w:rPr>
        <w:t xml:space="preserve">nectar which is highly favored by ants such as </w:t>
      </w:r>
      <w:r>
        <w:rPr>
          <w:rFonts w:ascii="Times New Roman" w:eastAsia="Times New Roman" w:hAnsi="Times New Roman"/>
          <w:i/>
          <w:color w:val="000000" w:themeColor="text1"/>
          <w:sz w:val="24"/>
          <w:szCs w:val="24"/>
        </w:rPr>
        <w:t>Acacia mangium</w:t>
      </w:r>
      <w:r>
        <w:rPr>
          <w:rFonts w:ascii="Times New Roman" w:eastAsia="Times New Roman" w:hAnsi="Times New Roman"/>
          <w:color w:val="000000" w:themeColor="text1"/>
          <w:sz w:val="24"/>
          <w:szCs w:val="24"/>
        </w:rPr>
        <w:t>, Cempedak (</w:t>
      </w:r>
      <w:r>
        <w:rPr>
          <w:rFonts w:ascii="Times New Roman" w:eastAsia="Times New Roman" w:hAnsi="Times New Roman"/>
          <w:i/>
          <w:color w:val="000000" w:themeColor="text1"/>
          <w:sz w:val="24"/>
          <w:szCs w:val="24"/>
        </w:rPr>
        <w:t>Arthocarpus chempeden</w:t>
      </w:r>
      <w:r>
        <w:rPr>
          <w:rFonts w:ascii="Times New Roman" w:eastAsia="Times New Roman" w:hAnsi="Times New Roman"/>
          <w:color w:val="000000" w:themeColor="text1"/>
          <w:sz w:val="24"/>
          <w:szCs w:val="24"/>
        </w:rPr>
        <w:t>), Belimbing (</w:t>
      </w:r>
      <w:r>
        <w:rPr>
          <w:rFonts w:ascii="Times New Roman" w:eastAsia="Times New Roman" w:hAnsi="Times New Roman"/>
          <w:i/>
          <w:color w:val="000000" w:themeColor="text1"/>
          <w:sz w:val="24"/>
          <w:szCs w:val="24"/>
        </w:rPr>
        <w:t>Averhoa carambolla</w:t>
      </w:r>
      <w:r>
        <w:rPr>
          <w:rFonts w:ascii="Times New Roman" w:eastAsia="Times New Roman" w:hAnsi="Times New Roman"/>
          <w:color w:val="000000" w:themeColor="text1"/>
          <w:sz w:val="24"/>
          <w:szCs w:val="24"/>
        </w:rPr>
        <w:t>), Guava (</w:t>
      </w:r>
      <w:r>
        <w:rPr>
          <w:rFonts w:ascii="Times New Roman" w:eastAsia="Times New Roman" w:hAnsi="Times New Roman"/>
          <w:i/>
          <w:color w:val="000000" w:themeColor="text1"/>
          <w:sz w:val="24"/>
          <w:szCs w:val="24"/>
        </w:rPr>
        <w:t>Psidium guajava</w:t>
      </w:r>
      <w:r>
        <w:rPr>
          <w:rFonts w:ascii="Times New Roman" w:eastAsia="Times New Roman" w:hAnsi="Times New Roman"/>
          <w:color w:val="000000" w:themeColor="text1"/>
          <w:sz w:val="24"/>
          <w:szCs w:val="24"/>
        </w:rPr>
        <w:t>), Rambutan (</w:t>
      </w:r>
      <w:r>
        <w:rPr>
          <w:rFonts w:ascii="Times New Roman" w:eastAsia="Times New Roman" w:hAnsi="Times New Roman"/>
          <w:i/>
          <w:color w:val="000000" w:themeColor="text1"/>
          <w:sz w:val="24"/>
          <w:szCs w:val="24"/>
        </w:rPr>
        <w:t>Nephelium lapaceum</w:t>
      </w:r>
      <w:r>
        <w:rPr>
          <w:rFonts w:ascii="Times New Roman" w:eastAsia="Times New Roman" w:hAnsi="Times New Roman"/>
          <w:color w:val="000000" w:themeColor="text1"/>
          <w:sz w:val="24"/>
          <w:szCs w:val="24"/>
        </w:rPr>
        <w:t>) and other types of protein-producing trees. On the other hand, the micro</w:t>
      </w:r>
      <w:r>
        <w:rPr>
          <w:rFonts w:ascii="Times New Roman" w:eastAsia="Times New Roman" w:hAnsi="Times New Roman"/>
          <w:color w:val="000000" w:themeColor="text1"/>
          <w:sz w:val="24"/>
          <w:szCs w:val="24"/>
        </w:rPr>
        <w:t>-temperature and humidity factors in the region also influence the variation of ant life, because the optimum temperature and humidity for each ant is not always the same. Rahmawati (2007) said the ants can live well in the temperature range 27 - 29 oc for</w:t>
      </w:r>
      <w:r>
        <w:rPr>
          <w:rFonts w:ascii="Times New Roman" w:eastAsia="Times New Roman" w:hAnsi="Times New Roman"/>
          <w:color w:val="000000" w:themeColor="text1"/>
          <w:sz w:val="24"/>
          <w:szCs w:val="24"/>
        </w:rPr>
        <w:t xml:space="preserve"> the tropics.</w:t>
      </w:r>
    </w:p>
    <w:p w:rsidR="00F66F24" w:rsidRDefault="00CC24CB" w:rsidP="00A104DF">
      <w:pPr>
        <w:spacing w:after="2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Differences in temperature and humidity in the area occur as a result of rainfall and solar radiation factor which in August to September 2011 in Ambon city is quite high ie 771 mm / day with 16 days of rain in August and 233.7 mm / day with </w:t>
      </w:r>
      <w:r>
        <w:rPr>
          <w:rFonts w:ascii="Times New Roman" w:eastAsia="Times New Roman" w:hAnsi="Times New Roman"/>
          <w:color w:val="000000" w:themeColor="text1"/>
          <w:sz w:val="24"/>
          <w:szCs w:val="24"/>
        </w:rPr>
        <w:t>14 rainy days reached 76%. The solar radiation in August was 52% and September was 66%. This microclimate change greatly affects the presence of ants in the area because it will affect the population density which in turn affects the type of ants in the re</w:t>
      </w:r>
      <w:r>
        <w:rPr>
          <w:rFonts w:ascii="Times New Roman" w:eastAsia="Times New Roman" w:hAnsi="Times New Roman"/>
          <w:color w:val="000000" w:themeColor="text1"/>
          <w:sz w:val="24"/>
          <w:szCs w:val="24"/>
        </w:rPr>
        <w:t xml:space="preserve">gion. On a rainy day the species of ants will hide in the </w:t>
      </w:r>
      <w:r>
        <w:rPr>
          <w:rFonts w:ascii="Times New Roman" w:eastAsia="Times New Roman" w:hAnsi="Times New Roman"/>
          <w:color w:val="000000" w:themeColor="text1"/>
          <w:sz w:val="24"/>
          <w:szCs w:val="24"/>
        </w:rPr>
        <w:lastRenderedPageBreak/>
        <w:t>ground for some time and will continue if the rain has stopped and the air temperature returns warmer (Chung and Maryati, 1996).</w:t>
      </w:r>
    </w:p>
    <w:p w:rsidR="00F66F24" w:rsidRDefault="00CC24CB" w:rsidP="00A104DF">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Disturbance in the forest area also affects the diversity of ants liv</w:t>
      </w:r>
      <w:r>
        <w:rPr>
          <w:rFonts w:ascii="Times New Roman" w:eastAsia="Times New Roman" w:hAnsi="Times New Roman"/>
          <w:color w:val="000000" w:themeColor="text1"/>
          <w:sz w:val="24"/>
          <w:szCs w:val="24"/>
        </w:rPr>
        <w:t xml:space="preserve">ing therein, because changes in the ecosystem will directly affect the vegetation structure as a source of food and land as a place to build a nest. (Chung and Maryati, 1996) suggest that habitats impaired by human presence will have a lower ant diversity </w:t>
      </w:r>
      <w:r>
        <w:rPr>
          <w:rFonts w:ascii="Times New Roman" w:eastAsia="Times New Roman" w:hAnsi="Times New Roman"/>
          <w:color w:val="000000" w:themeColor="text1"/>
          <w:sz w:val="24"/>
          <w:szCs w:val="24"/>
        </w:rPr>
        <w:t>when compared to undisturbed habitats.</w:t>
      </w:r>
    </w:p>
    <w:p w:rsidR="00007BB2" w:rsidRDefault="00007BB2">
      <w:pPr>
        <w:tabs>
          <w:tab w:val="left" w:pos="1995"/>
        </w:tabs>
        <w:spacing w:after="200" w:line="480" w:lineRule="auto"/>
        <w:jc w:val="center"/>
        <w:rPr>
          <w:rFonts w:ascii="Times New Roman" w:eastAsia="Times New Roman" w:hAnsi="Times New Roman"/>
          <w:b/>
          <w:color w:val="000000" w:themeColor="text1"/>
          <w:sz w:val="24"/>
          <w:szCs w:val="24"/>
        </w:rPr>
      </w:pPr>
    </w:p>
    <w:p w:rsidR="00F66F24" w:rsidRDefault="00CC24CB">
      <w:pPr>
        <w:tabs>
          <w:tab w:val="left" w:pos="1995"/>
        </w:tabs>
        <w:spacing w:after="200" w:line="48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CONCLUSION</w:t>
      </w:r>
    </w:p>
    <w:p w:rsidR="00F66F24" w:rsidRDefault="00CC24CB" w:rsidP="00007BB2">
      <w:pPr>
        <w:tabs>
          <w:tab w:val="left" w:pos="1995"/>
        </w:tabs>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Some conclusions in this study are:</w:t>
      </w:r>
    </w:p>
    <w:p w:rsidR="00F66F24" w:rsidRDefault="00CC24CB" w:rsidP="00007BB2">
      <w:pPr>
        <w:tabs>
          <w:tab w:val="left" w:pos="1995"/>
        </w:tabs>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1. The types of ants that dominate dryland agriculture are </w:t>
      </w:r>
      <w:r>
        <w:rPr>
          <w:rFonts w:ascii="Times New Roman" w:eastAsia="Times New Roman" w:hAnsi="Times New Roman"/>
          <w:i/>
          <w:color w:val="000000" w:themeColor="text1"/>
          <w:sz w:val="24"/>
          <w:szCs w:val="24"/>
        </w:rPr>
        <w:t>Polirachis belicossa</w:t>
      </w:r>
      <w:r>
        <w:rPr>
          <w:rFonts w:ascii="Times New Roman" w:eastAsia="Times New Roman" w:hAnsi="Times New Roman"/>
          <w:color w:val="000000" w:themeColor="text1"/>
          <w:sz w:val="24"/>
          <w:szCs w:val="24"/>
        </w:rPr>
        <w:t xml:space="preserve"> </w:t>
      </w:r>
      <w:r>
        <w:rPr>
          <w:rFonts w:ascii="Times New Roman" w:eastAsia="Times New Roman" w:hAnsi="Times New Roman"/>
          <w:i/>
          <w:color w:val="000000" w:themeColor="text1"/>
          <w:sz w:val="24"/>
          <w:szCs w:val="24"/>
        </w:rPr>
        <w:t>and Echinopla lineata</w:t>
      </w:r>
      <w:r>
        <w:rPr>
          <w:rFonts w:ascii="Times New Roman" w:eastAsia="Times New Roman" w:hAnsi="Times New Roman"/>
          <w:color w:val="000000" w:themeColor="text1"/>
          <w:sz w:val="24"/>
          <w:szCs w:val="24"/>
        </w:rPr>
        <w:t xml:space="preserve"> </w:t>
      </w:r>
      <w:r>
        <w:rPr>
          <w:rFonts w:ascii="Times New Roman" w:eastAsia="Times New Roman" w:hAnsi="Times New Roman"/>
          <w:i/>
          <w:color w:val="000000" w:themeColor="text1"/>
          <w:sz w:val="24"/>
          <w:szCs w:val="24"/>
        </w:rPr>
        <w:t>- lineata</w:t>
      </w:r>
      <w:r>
        <w:rPr>
          <w:rFonts w:ascii="Times New Roman" w:eastAsia="Times New Roman" w:hAnsi="Times New Roman"/>
          <w:color w:val="000000" w:themeColor="text1"/>
          <w:sz w:val="24"/>
          <w:szCs w:val="24"/>
        </w:rPr>
        <w:t xml:space="preserve"> and on secondary dry land dominated by </w:t>
      </w:r>
      <w:r>
        <w:rPr>
          <w:rFonts w:ascii="Times New Roman" w:eastAsia="Times New Roman" w:hAnsi="Times New Roman"/>
          <w:i/>
          <w:color w:val="000000" w:themeColor="text1"/>
          <w:sz w:val="24"/>
          <w:szCs w:val="24"/>
        </w:rPr>
        <w:t>Meranoplus bicolor</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and </w:t>
      </w:r>
      <w:r>
        <w:rPr>
          <w:rFonts w:ascii="Times New Roman" w:eastAsia="Times New Roman" w:hAnsi="Times New Roman"/>
          <w:i/>
          <w:color w:val="000000" w:themeColor="text1"/>
          <w:sz w:val="24"/>
          <w:szCs w:val="24"/>
        </w:rPr>
        <w:t>Crematogaster ampularis</w:t>
      </w:r>
      <w:r>
        <w:rPr>
          <w:rFonts w:ascii="Times New Roman" w:eastAsia="Times New Roman" w:hAnsi="Times New Roman"/>
          <w:color w:val="000000" w:themeColor="text1"/>
          <w:sz w:val="24"/>
          <w:szCs w:val="24"/>
        </w:rPr>
        <w:t xml:space="preserve"> types.</w:t>
      </w:r>
    </w:p>
    <w:p w:rsidR="00F66F24" w:rsidRDefault="00CC24CB" w:rsidP="00007BB2">
      <w:pPr>
        <w:tabs>
          <w:tab w:val="left" w:pos="1995"/>
        </w:tabs>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The composition of ant species and diversity in two types of land use is influenced by the extent of the sampling plots, the availability of food sources, the microclimate, the presence of other competitors, the intens</w:t>
      </w:r>
      <w:r>
        <w:rPr>
          <w:rFonts w:ascii="Times New Roman" w:eastAsia="Times New Roman" w:hAnsi="Times New Roman"/>
          <w:color w:val="000000" w:themeColor="text1"/>
          <w:sz w:val="24"/>
          <w:szCs w:val="24"/>
        </w:rPr>
        <w:t>ity of the disturbance in the area and the extent of the colony's roaming area.</w:t>
      </w:r>
    </w:p>
    <w:p w:rsidR="00F66F24" w:rsidRDefault="00CC24CB" w:rsidP="00007BB2">
      <w:pPr>
        <w:tabs>
          <w:tab w:val="left" w:pos="1995"/>
        </w:tabs>
        <w:spacing w:after="20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The transfer of regional functions will affect the pattern of ant diversity in the region.</w:t>
      </w:r>
    </w:p>
    <w:p w:rsidR="00F66F24" w:rsidRDefault="00CC24CB" w:rsidP="00007BB2">
      <w:pPr>
        <w:ind w:left="720" w:hanging="720"/>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Suggestion</w:t>
      </w:r>
    </w:p>
    <w:p w:rsidR="00F66F24" w:rsidRDefault="00CC24CB" w:rsidP="00007BB2">
      <w:pPr>
        <w:ind w:left="720" w:hanging="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Some suggestions that can be submitted in this research are:</w:t>
      </w:r>
    </w:p>
    <w:p w:rsidR="00F66F24" w:rsidRDefault="00CC24CB" w:rsidP="009F4AD2">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Further</w:t>
      </w:r>
      <w:r>
        <w:rPr>
          <w:rFonts w:ascii="Times New Roman" w:eastAsia="Times New Roman" w:hAnsi="Times New Roman"/>
          <w:color w:val="000000" w:themeColor="text1"/>
          <w:sz w:val="24"/>
          <w:szCs w:val="24"/>
        </w:rPr>
        <w:t xml:space="preserve"> research is needed on other types of land use within the Sirimau Protected Forest area of ​​Ambon City</w:t>
      </w:r>
    </w:p>
    <w:p w:rsidR="00F66F24" w:rsidRDefault="00CC24CB" w:rsidP="009F4AD2">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Efforts to conserve the area should be done in order to maintain the stability of ant communities in the region.</w:t>
      </w:r>
    </w:p>
    <w:p w:rsidR="00F66F24" w:rsidRDefault="00F66F24">
      <w:pPr>
        <w:spacing w:line="360" w:lineRule="auto"/>
        <w:ind w:left="720" w:hanging="720"/>
        <w:jc w:val="center"/>
        <w:rPr>
          <w:rFonts w:ascii="Times New Roman" w:eastAsia="Times New Roman" w:hAnsi="Times New Roman"/>
          <w:color w:val="000000" w:themeColor="text1"/>
          <w:sz w:val="24"/>
          <w:szCs w:val="24"/>
        </w:rPr>
      </w:pPr>
    </w:p>
    <w:p w:rsidR="007236DD" w:rsidRDefault="00CC24CB" w:rsidP="007236DD">
      <w:pPr>
        <w:ind w:left="720" w:hanging="720"/>
        <w:rPr>
          <w:rFonts w:ascii="Times New Roman" w:eastAsia="Times New Roman" w:hAnsi="Times New Roman"/>
          <w:b/>
          <w:sz w:val="24"/>
          <w:szCs w:val="24"/>
        </w:rPr>
      </w:pPr>
      <w:r>
        <w:rPr>
          <w:rFonts w:ascii="Times New Roman" w:eastAsia="Times New Roman" w:hAnsi="Times New Roman"/>
          <w:b/>
          <w:sz w:val="24"/>
          <w:szCs w:val="24"/>
        </w:rPr>
        <w:t>References</w:t>
      </w:r>
    </w:p>
    <w:p w:rsidR="00F66F24" w:rsidRPr="007236DD" w:rsidRDefault="005D2874" w:rsidP="007236DD">
      <w:pPr>
        <w:spacing w:after="120"/>
        <w:jc w:val="both"/>
        <w:rPr>
          <w:rFonts w:ascii="Times New Roman" w:eastAsia="Times New Roman" w:hAnsi="Times New Roman"/>
          <w:b/>
          <w:sz w:val="24"/>
          <w:szCs w:val="24"/>
        </w:rPr>
      </w:pPr>
      <w:r>
        <w:rPr>
          <w:rFonts w:ascii="Times New Roman" w:eastAsia="Times New Roman" w:hAnsi="Times New Roman"/>
          <w:sz w:val="24"/>
          <w:szCs w:val="24"/>
        </w:rPr>
        <w:t>Andersen. (</w:t>
      </w:r>
      <w:r w:rsidR="00CC24CB">
        <w:rPr>
          <w:rFonts w:ascii="Times New Roman" w:eastAsia="Times New Roman" w:hAnsi="Times New Roman"/>
          <w:sz w:val="24"/>
          <w:szCs w:val="24"/>
        </w:rPr>
        <w:t>1977</w:t>
      </w:r>
      <w:r>
        <w:rPr>
          <w:rFonts w:ascii="Times New Roman" w:eastAsia="Times New Roman" w:hAnsi="Times New Roman"/>
          <w:sz w:val="24"/>
          <w:szCs w:val="24"/>
        </w:rPr>
        <w:t>)</w:t>
      </w:r>
      <w:r w:rsidR="00CC24CB">
        <w:rPr>
          <w:rFonts w:ascii="Times New Roman" w:eastAsia="Times New Roman" w:hAnsi="Times New Roman"/>
          <w:sz w:val="24"/>
          <w:szCs w:val="24"/>
        </w:rPr>
        <w:t xml:space="preserve">. Ants as indicators of ecosystem restoration following mining: a functional group approach. Pp. 319-325. </w:t>
      </w:r>
      <w:r w:rsidR="00CC24CB">
        <w:rPr>
          <w:rFonts w:ascii="Times New Roman" w:eastAsia="Times New Roman" w:hAnsi="Times New Roman"/>
          <w:i/>
          <w:sz w:val="24"/>
          <w:szCs w:val="24"/>
        </w:rPr>
        <w:t xml:space="preserve">In </w:t>
      </w:r>
      <w:r w:rsidR="00CC24CB">
        <w:rPr>
          <w:rFonts w:ascii="Times New Roman" w:eastAsia="Times New Roman" w:hAnsi="Times New Roman"/>
          <w:sz w:val="24"/>
          <w:szCs w:val="24"/>
        </w:rPr>
        <w:t xml:space="preserve">Hale, P. and D. Lamb (eds.) Conservation outside nature reserves. Centre for Conservation Ecology, The University of Queensland. </w:t>
      </w:r>
    </w:p>
    <w:p w:rsidR="00F66F24" w:rsidRDefault="005D2874" w:rsidP="007236DD">
      <w:pPr>
        <w:spacing w:after="120"/>
        <w:jc w:val="both"/>
        <w:rPr>
          <w:rFonts w:ascii="Times New Roman" w:eastAsia="Times New Roman" w:hAnsi="Times New Roman"/>
          <w:sz w:val="24"/>
          <w:szCs w:val="24"/>
        </w:rPr>
      </w:pPr>
      <w:r>
        <w:rPr>
          <w:rFonts w:ascii="Times New Roman" w:eastAsia="Times New Roman" w:hAnsi="Times New Roman"/>
          <w:sz w:val="24"/>
          <w:szCs w:val="24"/>
        </w:rPr>
        <w:t>Anonymous. (</w:t>
      </w:r>
      <w:r w:rsidR="00CC24CB">
        <w:rPr>
          <w:rFonts w:ascii="Times New Roman" w:eastAsia="Times New Roman" w:hAnsi="Times New Roman"/>
          <w:sz w:val="24"/>
          <w:szCs w:val="24"/>
        </w:rPr>
        <w:t>2010</w:t>
      </w:r>
      <w:r>
        <w:rPr>
          <w:rFonts w:ascii="Times New Roman" w:eastAsia="Times New Roman" w:hAnsi="Times New Roman"/>
          <w:sz w:val="24"/>
          <w:szCs w:val="24"/>
        </w:rPr>
        <w:t>)</w:t>
      </w:r>
      <w:r w:rsidR="00CC24CB">
        <w:rPr>
          <w:rFonts w:ascii="Times New Roman" w:eastAsia="Times New Roman" w:hAnsi="Times New Roman"/>
          <w:sz w:val="24"/>
          <w:szCs w:val="24"/>
        </w:rPr>
        <w:t>. Laporan inventarisasi Hutan Kota Ambon [Ambon City Forest inventory report]. Ambon City Forestry Office.</w:t>
      </w:r>
    </w:p>
    <w:p w:rsidR="00F66F24" w:rsidRDefault="005D2874" w:rsidP="00397C34">
      <w:pPr>
        <w:jc w:val="both"/>
        <w:rPr>
          <w:rFonts w:ascii="Times New Roman" w:eastAsia="Times New Roman" w:hAnsi="Times New Roman"/>
          <w:sz w:val="24"/>
          <w:szCs w:val="24"/>
        </w:rPr>
      </w:pPr>
      <w:r>
        <w:rPr>
          <w:rFonts w:ascii="Times New Roman" w:eastAsia="Times New Roman" w:hAnsi="Times New Roman"/>
          <w:sz w:val="24"/>
          <w:szCs w:val="24"/>
        </w:rPr>
        <w:t>Bolton. (</w:t>
      </w:r>
      <w:r w:rsidR="00CC24CB">
        <w:rPr>
          <w:rFonts w:ascii="Times New Roman" w:eastAsia="Times New Roman" w:hAnsi="Times New Roman"/>
          <w:sz w:val="24"/>
          <w:szCs w:val="24"/>
        </w:rPr>
        <w:t>1994</w:t>
      </w:r>
      <w:r>
        <w:rPr>
          <w:rFonts w:ascii="Times New Roman" w:eastAsia="Times New Roman" w:hAnsi="Times New Roman"/>
          <w:sz w:val="24"/>
          <w:szCs w:val="24"/>
        </w:rPr>
        <w:t>)</w:t>
      </w:r>
      <w:r w:rsidR="00CC24CB">
        <w:rPr>
          <w:rFonts w:ascii="Times New Roman" w:eastAsia="Times New Roman" w:hAnsi="Times New Roman"/>
          <w:sz w:val="24"/>
          <w:szCs w:val="24"/>
        </w:rPr>
        <w:t xml:space="preserve">. Taxonomy and biology ants. </w:t>
      </w:r>
      <w:r w:rsidR="00CC24CB" w:rsidRPr="005D2874">
        <w:rPr>
          <w:rFonts w:ascii="Times New Roman" w:eastAsia="Times New Roman" w:hAnsi="Times New Roman"/>
          <w:i/>
          <w:sz w:val="24"/>
          <w:szCs w:val="24"/>
        </w:rPr>
        <w:t>Journal</w:t>
      </w:r>
      <w:r w:rsidRPr="005D2874">
        <w:rPr>
          <w:rFonts w:ascii="Times New Roman" w:eastAsia="Times New Roman" w:hAnsi="Times New Roman"/>
          <w:i/>
          <w:sz w:val="24"/>
          <w:szCs w:val="24"/>
        </w:rPr>
        <w:t xml:space="preserve"> Of Natural history</w:t>
      </w:r>
      <w:r>
        <w:rPr>
          <w:rFonts w:ascii="Times New Roman" w:eastAsia="Times New Roman" w:hAnsi="Times New Roman"/>
          <w:sz w:val="24"/>
          <w:szCs w:val="24"/>
        </w:rPr>
        <w:t xml:space="preserve">, </w:t>
      </w:r>
      <w:r w:rsidRPr="001A6F97">
        <w:rPr>
          <w:rFonts w:ascii="Times New Roman" w:eastAsia="Times New Roman" w:hAnsi="Times New Roman"/>
          <w:i/>
          <w:sz w:val="24"/>
          <w:szCs w:val="24"/>
        </w:rPr>
        <w:t>23</w:t>
      </w:r>
      <w:r>
        <w:rPr>
          <w:rFonts w:ascii="Times New Roman" w:eastAsia="Times New Roman" w:hAnsi="Times New Roman"/>
          <w:sz w:val="24"/>
          <w:szCs w:val="24"/>
        </w:rPr>
        <w:t>, 1267-</w:t>
      </w:r>
      <w:r w:rsidR="00CC24CB">
        <w:rPr>
          <w:rFonts w:ascii="Times New Roman" w:eastAsia="Times New Roman" w:hAnsi="Times New Roman"/>
          <w:sz w:val="24"/>
          <w:szCs w:val="24"/>
        </w:rPr>
        <w:t>1308</w:t>
      </w:r>
      <w:r>
        <w:rPr>
          <w:rFonts w:ascii="Times New Roman" w:eastAsia="Times New Roman" w:hAnsi="Times New Roman"/>
          <w:sz w:val="24"/>
          <w:szCs w:val="24"/>
        </w:rPr>
        <w:t>.</w:t>
      </w:r>
    </w:p>
    <w:p w:rsidR="00F66F24" w:rsidRDefault="00B27043" w:rsidP="00984FA6">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Brown. </w:t>
      </w:r>
      <w:r w:rsidR="001A6F97">
        <w:rPr>
          <w:rFonts w:ascii="Times New Roman" w:eastAsia="Times New Roman" w:hAnsi="Times New Roman"/>
          <w:sz w:val="24"/>
          <w:szCs w:val="24"/>
        </w:rPr>
        <w:t>(</w:t>
      </w:r>
      <w:r w:rsidR="00CC24CB">
        <w:rPr>
          <w:rFonts w:ascii="Times New Roman" w:eastAsia="Times New Roman" w:hAnsi="Times New Roman"/>
          <w:sz w:val="24"/>
          <w:szCs w:val="24"/>
        </w:rPr>
        <w:t>2000</w:t>
      </w:r>
      <w:r w:rsidR="001A6F97">
        <w:rPr>
          <w:rFonts w:ascii="Times New Roman" w:eastAsia="Times New Roman" w:hAnsi="Times New Roman"/>
          <w:sz w:val="24"/>
          <w:szCs w:val="24"/>
        </w:rPr>
        <w:t>)</w:t>
      </w:r>
      <w:r w:rsidR="00CC24CB">
        <w:rPr>
          <w:rFonts w:ascii="Times New Roman" w:eastAsia="Times New Roman" w:hAnsi="Times New Roman"/>
          <w:sz w:val="24"/>
          <w:szCs w:val="24"/>
        </w:rPr>
        <w:t xml:space="preserve">. Diversity of Ants. In </w:t>
      </w:r>
      <w:r w:rsidR="00CC24CB">
        <w:rPr>
          <w:rFonts w:ascii="Times New Roman" w:eastAsia="Times New Roman" w:hAnsi="Times New Roman"/>
          <w:i/>
          <w:sz w:val="24"/>
          <w:szCs w:val="24"/>
        </w:rPr>
        <w:t>ANTS. St</w:t>
      </w:r>
      <w:r w:rsidR="00CC24CB">
        <w:rPr>
          <w:rFonts w:ascii="Times New Roman" w:eastAsia="Times New Roman" w:hAnsi="Times New Roman"/>
          <w:i/>
          <w:sz w:val="24"/>
          <w:szCs w:val="24"/>
        </w:rPr>
        <w:t>andard Method for Measuring and Monitoring Biodiversity.</w:t>
      </w:r>
      <w:r w:rsidR="00CC24CB">
        <w:rPr>
          <w:rFonts w:ascii="Times New Roman" w:eastAsia="Times New Roman" w:hAnsi="Times New Roman"/>
          <w:sz w:val="24"/>
          <w:szCs w:val="24"/>
        </w:rPr>
        <w:t xml:space="preserve"> Edited by Agosti, D., Majer, J. D, Alonso, L, E &amp; Schultz, T. R. Smithsonian Institution.</w:t>
      </w:r>
    </w:p>
    <w:p w:rsidR="00F66F24" w:rsidRDefault="00D743FB" w:rsidP="00984FA6">
      <w:pPr>
        <w:spacing w:after="120"/>
        <w:jc w:val="both"/>
        <w:rPr>
          <w:rFonts w:ascii="Times New Roman" w:eastAsia="Times New Roman" w:hAnsi="Times New Roman"/>
          <w:sz w:val="24"/>
          <w:szCs w:val="24"/>
        </w:rPr>
      </w:pPr>
      <w:r>
        <w:rPr>
          <w:rFonts w:ascii="Times New Roman" w:eastAsia="Times New Roman" w:hAnsi="Times New Roman"/>
          <w:sz w:val="24"/>
          <w:szCs w:val="24"/>
        </w:rPr>
        <w:t>Bru</w:t>
      </w:r>
      <w:r w:rsidR="00E53001">
        <w:rPr>
          <w:rFonts w:ascii="Times New Roman" w:eastAsia="Times New Roman" w:hAnsi="Times New Roman"/>
          <w:sz w:val="24"/>
          <w:szCs w:val="24"/>
        </w:rPr>
        <w:t>hl, C. A., Gunsalam, G., &amp; Linsenmair, K. E. (</w:t>
      </w:r>
      <w:r w:rsidR="00CC24CB">
        <w:rPr>
          <w:rFonts w:ascii="Times New Roman" w:eastAsia="Times New Roman" w:hAnsi="Times New Roman"/>
          <w:sz w:val="24"/>
          <w:szCs w:val="24"/>
        </w:rPr>
        <w:t>1998</w:t>
      </w:r>
      <w:r w:rsidR="00E53001">
        <w:rPr>
          <w:rFonts w:ascii="Times New Roman" w:eastAsia="Times New Roman" w:hAnsi="Times New Roman"/>
          <w:sz w:val="24"/>
          <w:szCs w:val="24"/>
        </w:rPr>
        <w:t>)</w:t>
      </w:r>
      <w:r w:rsidR="00CC24CB">
        <w:rPr>
          <w:rFonts w:ascii="Times New Roman" w:eastAsia="Times New Roman" w:hAnsi="Times New Roman"/>
          <w:sz w:val="24"/>
          <w:szCs w:val="24"/>
        </w:rPr>
        <w:t xml:space="preserve">. Stratification of ants (Hymenoptera, Formicidae) in primary rain forest in Sabah, Borneo. </w:t>
      </w:r>
      <w:r w:rsidR="00CC24CB">
        <w:rPr>
          <w:rFonts w:ascii="Times New Roman" w:eastAsia="Times New Roman" w:hAnsi="Times New Roman"/>
          <w:i/>
          <w:sz w:val="24"/>
          <w:szCs w:val="24"/>
        </w:rPr>
        <w:t>Journal of Tropical Ecology</w:t>
      </w:r>
      <w:r>
        <w:rPr>
          <w:rFonts w:ascii="Times New Roman" w:eastAsia="Times New Roman" w:hAnsi="Times New Roman"/>
          <w:sz w:val="24"/>
          <w:szCs w:val="24"/>
        </w:rPr>
        <w:t xml:space="preserve">, 14, </w:t>
      </w:r>
      <w:r w:rsidR="00CC24CB">
        <w:rPr>
          <w:rFonts w:ascii="Times New Roman" w:eastAsia="Times New Roman" w:hAnsi="Times New Roman"/>
          <w:sz w:val="24"/>
          <w:szCs w:val="24"/>
        </w:rPr>
        <w:t>285-297.</w:t>
      </w:r>
    </w:p>
    <w:p w:rsidR="00F66F24" w:rsidRDefault="00E53001" w:rsidP="00984FA6">
      <w:pPr>
        <w:spacing w:after="120"/>
        <w:jc w:val="both"/>
        <w:rPr>
          <w:rFonts w:ascii="Times New Roman" w:eastAsia="Times New Roman" w:hAnsi="Times New Roman"/>
          <w:sz w:val="24"/>
          <w:szCs w:val="24"/>
        </w:rPr>
      </w:pPr>
      <w:r>
        <w:rPr>
          <w:rFonts w:ascii="Times New Roman" w:eastAsia="Times New Roman" w:hAnsi="Times New Roman"/>
          <w:sz w:val="24"/>
          <w:szCs w:val="24"/>
        </w:rPr>
        <w:lastRenderedPageBreak/>
        <w:t>Chung &amp; Maryati (</w:t>
      </w:r>
      <w:r w:rsidR="00CC24CB">
        <w:rPr>
          <w:rFonts w:ascii="Times New Roman" w:eastAsia="Times New Roman" w:hAnsi="Times New Roman"/>
          <w:sz w:val="24"/>
          <w:szCs w:val="24"/>
        </w:rPr>
        <w:t>1996</w:t>
      </w:r>
      <w:r>
        <w:rPr>
          <w:rFonts w:ascii="Times New Roman" w:eastAsia="Times New Roman" w:hAnsi="Times New Roman"/>
          <w:sz w:val="24"/>
          <w:szCs w:val="24"/>
        </w:rPr>
        <w:t>)</w:t>
      </w:r>
      <w:r w:rsidR="00CC24CB">
        <w:rPr>
          <w:rFonts w:ascii="Times New Roman" w:eastAsia="Times New Roman" w:hAnsi="Times New Roman"/>
          <w:sz w:val="24"/>
          <w:szCs w:val="24"/>
        </w:rPr>
        <w:t>. A comparative study of the ant fauna in a primary and secondary forest in Sabah, Malaysia. In Edward, D. S., Booth, W. E &amp; Choy, S.C (eds). Tropical rainforest research-Current Issues, pp 35</w:t>
      </w:r>
      <w:r w:rsidR="00CC24CB">
        <w:rPr>
          <w:rFonts w:ascii="Times New Roman" w:eastAsia="Times New Roman" w:hAnsi="Times New Roman"/>
          <w:sz w:val="24"/>
          <w:szCs w:val="24"/>
        </w:rPr>
        <w:t xml:space="preserve">7-366. Kluwer Academic Publisher, Dodrecht, Nederlands.  </w:t>
      </w:r>
    </w:p>
    <w:p w:rsidR="00F66F24" w:rsidRDefault="00984FA6" w:rsidP="00984FA6">
      <w:pPr>
        <w:spacing w:after="120"/>
        <w:jc w:val="both"/>
        <w:rPr>
          <w:rFonts w:ascii="Times New Roman" w:eastAsia="Times New Roman" w:hAnsi="Times New Roman"/>
          <w:sz w:val="24"/>
          <w:szCs w:val="24"/>
        </w:rPr>
      </w:pPr>
      <w:r>
        <w:rPr>
          <w:rFonts w:ascii="Times New Roman" w:eastAsia="Times New Roman" w:hAnsi="Times New Roman"/>
          <w:sz w:val="24"/>
          <w:szCs w:val="24"/>
        </w:rPr>
        <w:t>Hasimoto (</w:t>
      </w:r>
      <w:r w:rsidR="00CC24CB">
        <w:rPr>
          <w:rFonts w:ascii="Times New Roman" w:eastAsia="Times New Roman" w:hAnsi="Times New Roman"/>
          <w:sz w:val="24"/>
          <w:szCs w:val="24"/>
        </w:rPr>
        <w:t>2001</w:t>
      </w:r>
      <w:r>
        <w:rPr>
          <w:rFonts w:ascii="Times New Roman" w:eastAsia="Times New Roman" w:hAnsi="Times New Roman"/>
          <w:sz w:val="24"/>
          <w:szCs w:val="24"/>
        </w:rPr>
        <w:t>)</w:t>
      </w:r>
      <w:r w:rsidR="00CC24CB">
        <w:rPr>
          <w:rFonts w:ascii="Times New Roman" w:eastAsia="Times New Roman" w:hAnsi="Times New Roman"/>
          <w:sz w:val="24"/>
          <w:szCs w:val="24"/>
        </w:rPr>
        <w:t xml:space="preserve">. How to design an inventory method for ground-level ants in tropical forest. </w:t>
      </w:r>
      <w:r w:rsidR="00CC24CB">
        <w:rPr>
          <w:rFonts w:ascii="Times New Roman" w:eastAsia="Times New Roman" w:hAnsi="Times New Roman"/>
          <w:i/>
          <w:sz w:val="24"/>
          <w:szCs w:val="24"/>
        </w:rPr>
        <w:t>Nature and Human Activities</w:t>
      </w:r>
      <w:r>
        <w:rPr>
          <w:rFonts w:ascii="Times New Roman" w:eastAsia="Times New Roman" w:hAnsi="Times New Roman"/>
          <w:sz w:val="24"/>
          <w:szCs w:val="24"/>
        </w:rPr>
        <w:t xml:space="preserve">, 6, </w:t>
      </w:r>
      <w:r w:rsidR="00CC24CB">
        <w:rPr>
          <w:rFonts w:ascii="Times New Roman" w:eastAsia="Times New Roman" w:hAnsi="Times New Roman"/>
          <w:sz w:val="24"/>
          <w:szCs w:val="24"/>
        </w:rPr>
        <w:t>25-30</w:t>
      </w:r>
      <w:r>
        <w:rPr>
          <w:rFonts w:ascii="Times New Roman" w:eastAsia="Times New Roman" w:hAnsi="Times New Roman"/>
          <w:sz w:val="24"/>
          <w:szCs w:val="24"/>
        </w:rPr>
        <w:t>.</w:t>
      </w:r>
    </w:p>
    <w:p w:rsidR="00F66F24" w:rsidRDefault="00E53001" w:rsidP="00E53001">
      <w:pPr>
        <w:spacing w:after="120"/>
        <w:jc w:val="both"/>
        <w:rPr>
          <w:rFonts w:ascii="Times New Roman" w:eastAsia="Times New Roman" w:hAnsi="Times New Roman"/>
          <w:sz w:val="24"/>
          <w:szCs w:val="24"/>
        </w:rPr>
      </w:pPr>
      <w:r>
        <w:rPr>
          <w:rFonts w:ascii="Times New Roman" w:eastAsia="Times New Roman" w:hAnsi="Times New Roman"/>
          <w:sz w:val="24"/>
          <w:szCs w:val="24"/>
        </w:rPr>
        <w:t>Latumahina. (</w:t>
      </w:r>
      <w:r w:rsidR="00CC24CB">
        <w:rPr>
          <w:rFonts w:ascii="Times New Roman" w:eastAsia="Times New Roman" w:hAnsi="Times New Roman"/>
          <w:sz w:val="24"/>
          <w:szCs w:val="24"/>
        </w:rPr>
        <w:t>2006</w:t>
      </w:r>
      <w:r>
        <w:rPr>
          <w:rFonts w:ascii="Times New Roman" w:eastAsia="Times New Roman" w:hAnsi="Times New Roman"/>
          <w:sz w:val="24"/>
          <w:szCs w:val="24"/>
        </w:rPr>
        <w:t>).</w:t>
      </w:r>
      <w:r w:rsidR="00CC24CB">
        <w:rPr>
          <w:rFonts w:ascii="Times New Roman" w:eastAsia="Times New Roman" w:hAnsi="Times New Roman"/>
          <w:sz w:val="24"/>
          <w:szCs w:val="24"/>
        </w:rPr>
        <w:t xml:space="preserve"> Inventarisasi jenis serangga dalam kawasan hutan l</w:t>
      </w:r>
      <w:r w:rsidR="00CC24CB">
        <w:rPr>
          <w:rFonts w:ascii="Times New Roman" w:eastAsia="Times New Roman" w:hAnsi="Times New Roman"/>
          <w:sz w:val="24"/>
          <w:szCs w:val="24"/>
        </w:rPr>
        <w:t>indung sirimau Kota Ambon [Inventory of insect species in protected forest area sirimau Kota Ambon]. Student research report. Faculty of Agriculture Pattimura University Ambon.</w:t>
      </w:r>
    </w:p>
    <w:p w:rsidR="00F66F24" w:rsidRDefault="008D2CEA" w:rsidP="00E53001">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Mejer. </w:t>
      </w:r>
      <w:r w:rsidR="00E53001">
        <w:rPr>
          <w:rFonts w:ascii="Times New Roman" w:eastAsia="Times New Roman" w:hAnsi="Times New Roman"/>
          <w:sz w:val="24"/>
          <w:szCs w:val="24"/>
        </w:rPr>
        <w:t>(</w:t>
      </w:r>
      <w:r w:rsidR="00CC24CB">
        <w:rPr>
          <w:rFonts w:ascii="Times New Roman" w:eastAsia="Times New Roman" w:hAnsi="Times New Roman"/>
          <w:sz w:val="24"/>
          <w:szCs w:val="24"/>
        </w:rPr>
        <w:t>1997</w:t>
      </w:r>
      <w:r w:rsidR="00E53001">
        <w:rPr>
          <w:rFonts w:ascii="Times New Roman" w:eastAsia="Times New Roman" w:hAnsi="Times New Roman"/>
          <w:sz w:val="24"/>
          <w:szCs w:val="24"/>
        </w:rPr>
        <w:t>)</w:t>
      </w:r>
      <w:r w:rsidR="00CC24CB">
        <w:rPr>
          <w:rFonts w:ascii="Times New Roman" w:eastAsia="Times New Roman" w:hAnsi="Times New Roman"/>
          <w:sz w:val="24"/>
          <w:szCs w:val="24"/>
        </w:rPr>
        <w:t xml:space="preserve">. The use of pitfall traps for sampling ants – a critique. </w:t>
      </w:r>
      <w:r w:rsidR="00CC24CB">
        <w:rPr>
          <w:rFonts w:ascii="Times New Roman" w:eastAsia="Times New Roman" w:hAnsi="Times New Roman"/>
          <w:i/>
          <w:sz w:val="24"/>
          <w:szCs w:val="24"/>
        </w:rPr>
        <w:t>Memoirs o</w:t>
      </w:r>
      <w:r w:rsidR="00CC24CB">
        <w:rPr>
          <w:rFonts w:ascii="Times New Roman" w:eastAsia="Times New Roman" w:hAnsi="Times New Roman"/>
          <w:i/>
          <w:sz w:val="24"/>
          <w:szCs w:val="24"/>
        </w:rPr>
        <w:t>f the Museum of Victoria</w:t>
      </w:r>
      <w:r w:rsidR="00CC24CB">
        <w:rPr>
          <w:rFonts w:ascii="Times New Roman" w:eastAsia="Times New Roman" w:hAnsi="Times New Roman"/>
          <w:sz w:val="24"/>
          <w:szCs w:val="24"/>
        </w:rPr>
        <w:t xml:space="preserve"> 56(62): 323-329</w:t>
      </w:r>
    </w:p>
    <w:p w:rsidR="00F66F24" w:rsidRDefault="00CC24CB" w:rsidP="00E53001">
      <w:pPr>
        <w:jc w:val="both"/>
        <w:rPr>
          <w:rFonts w:ascii="Times New Roman" w:eastAsia="Times New Roman" w:hAnsi="Times New Roman"/>
          <w:b/>
          <w:color w:val="000000" w:themeColor="text1"/>
          <w:sz w:val="24"/>
          <w:szCs w:val="24"/>
        </w:rPr>
      </w:pPr>
      <w:r>
        <w:rPr>
          <w:rFonts w:ascii="Times New Roman" w:eastAsia="Times New Roman" w:hAnsi="Times New Roman"/>
          <w:sz w:val="24"/>
          <w:szCs w:val="24"/>
        </w:rPr>
        <w:t xml:space="preserve">Mejer, 2006. An improved pitfall trap for sampling ants and other epigaeic invertebrates. </w:t>
      </w:r>
      <w:r w:rsidRPr="00E53001">
        <w:rPr>
          <w:rFonts w:ascii="Times New Roman" w:eastAsia="Times New Roman" w:hAnsi="Times New Roman"/>
          <w:i/>
          <w:sz w:val="24"/>
          <w:szCs w:val="24"/>
        </w:rPr>
        <w:t>Journal of the Australian Entomological Society</w:t>
      </w:r>
      <w:r w:rsidR="00E53001">
        <w:rPr>
          <w:rFonts w:ascii="Times New Roman" w:eastAsia="Times New Roman" w:hAnsi="Times New Roman"/>
          <w:sz w:val="24"/>
          <w:szCs w:val="24"/>
        </w:rPr>
        <w:t xml:space="preserve">, </w:t>
      </w:r>
      <w:r w:rsidR="00E53001" w:rsidRPr="00E53001">
        <w:rPr>
          <w:rFonts w:ascii="Times New Roman" w:eastAsia="Times New Roman" w:hAnsi="Times New Roman"/>
          <w:i/>
          <w:sz w:val="24"/>
          <w:szCs w:val="24"/>
        </w:rPr>
        <w:t>17</w:t>
      </w:r>
      <w:r w:rsidR="00E53001">
        <w:rPr>
          <w:rFonts w:ascii="Times New Roman" w:eastAsia="Times New Roman" w:hAnsi="Times New Roman"/>
          <w:sz w:val="24"/>
          <w:szCs w:val="24"/>
        </w:rPr>
        <w:t xml:space="preserve">, </w:t>
      </w:r>
      <w:r>
        <w:rPr>
          <w:rFonts w:ascii="Times New Roman" w:eastAsia="Times New Roman" w:hAnsi="Times New Roman"/>
          <w:sz w:val="24"/>
          <w:szCs w:val="24"/>
        </w:rPr>
        <w:t xml:space="preserve">261-262. </w:t>
      </w:r>
    </w:p>
    <w:sectPr w:rsidR="00F66F24">
      <w:footerReference w:type="default" r:id="rId9"/>
      <w:pgSz w:w="12242" w:h="15842" w:code="1"/>
      <w:pgMar w:top="1135" w:right="1327" w:bottom="2268"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CB" w:rsidRDefault="00CC24CB">
      <w:r>
        <w:separator/>
      </w:r>
    </w:p>
  </w:endnote>
  <w:endnote w:type="continuationSeparator" w:id="0">
    <w:p w:rsidR="00CC24CB" w:rsidRDefault="00CC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4" w:rsidRDefault="00F66F24">
    <w:pPr>
      <w:pStyle w:val="Footer"/>
      <w:spacing w:after="200" w:line="276" w:lineRule="auto"/>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CB" w:rsidRDefault="00CC24CB">
      <w:r>
        <w:separator/>
      </w:r>
    </w:p>
  </w:footnote>
  <w:footnote w:type="continuationSeparator" w:id="0">
    <w:p w:rsidR="00CC24CB" w:rsidRDefault="00CC2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347EBD9"/>
    <w:lvl w:ilvl="0" w:tplc="1A98B612">
      <w:start w:val="1"/>
      <w:numFmt w:val="decimal"/>
      <w:lvlText w:val="%1."/>
      <w:lvlJc w:val="left"/>
      <w:pPr>
        <w:ind w:left="630" w:hanging="360"/>
      </w:pPr>
      <w:rPr>
        <w:rFonts w:ascii="Times New Roman" w:eastAsia="Calibri" w:hAnsi="Times New Roman"/>
        <w:w w:val="100"/>
        <w:sz w:val="20"/>
        <w:szCs w:val="20"/>
        <w:shd w:val="clear" w:color="auto" w:fill="auto"/>
      </w:rPr>
    </w:lvl>
    <w:lvl w:ilvl="1" w:tplc="6EF8883C">
      <w:start w:val="1"/>
      <w:numFmt w:val="lowerLetter"/>
      <w:lvlText w:val="%2."/>
      <w:lvlJc w:val="left"/>
      <w:pPr>
        <w:ind w:left="1350" w:hanging="360"/>
      </w:pPr>
    </w:lvl>
    <w:lvl w:ilvl="2" w:tplc="F5B4977C">
      <w:start w:val="1"/>
      <w:numFmt w:val="lowerRoman"/>
      <w:lvlText w:val="%3."/>
      <w:lvlJc w:val="right"/>
      <w:pPr>
        <w:ind w:left="2070" w:hanging="180"/>
      </w:pPr>
    </w:lvl>
    <w:lvl w:ilvl="3" w:tplc="0E149676">
      <w:start w:val="1"/>
      <w:numFmt w:val="decimal"/>
      <w:lvlText w:val="%4."/>
      <w:lvlJc w:val="left"/>
      <w:pPr>
        <w:ind w:left="2790" w:hanging="360"/>
      </w:pPr>
    </w:lvl>
    <w:lvl w:ilvl="4" w:tplc="B0484EBE">
      <w:start w:val="1"/>
      <w:numFmt w:val="lowerLetter"/>
      <w:lvlText w:val="%5."/>
      <w:lvlJc w:val="left"/>
      <w:pPr>
        <w:ind w:left="3510" w:hanging="360"/>
      </w:pPr>
    </w:lvl>
    <w:lvl w:ilvl="5" w:tplc="418E3C86">
      <w:start w:val="1"/>
      <w:numFmt w:val="lowerRoman"/>
      <w:lvlText w:val="%6."/>
      <w:lvlJc w:val="right"/>
      <w:pPr>
        <w:ind w:left="4230" w:hanging="180"/>
      </w:pPr>
    </w:lvl>
    <w:lvl w:ilvl="6" w:tplc="5274B760">
      <w:start w:val="1"/>
      <w:numFmt w:val="decimal"/>
      <w:lvlText w:val="%7."/>
      <w:lvlJc w:val="left"/>
      <w:pPr>
        <w:ind w:left="4950" w:hanging="360"/>
      </w:pPr>
    </w:lvl>
    <w:lvl w:ilvl="7" w:tplc="5100EB86">
      <w:start w:val="1"/>
      <w:numFmt w:val="lowerLetter"/>
      <w:lvlText w:val="%8."/>
      <w:lvlJc w:val="left"/>
      <w:pPr>
        <w:ind w:left="5670" w:hanging="360"/>
      </w:pPr>
    </w:lvl>
    <w:lvl w:ilvl="8" w:tplc="087823C2">
      <w:start w:val="1"/>
      <w:numFmt w:val="lowerRoman"/>
      <w:lvlText w:val="%9."/>
      <w:lvlJc w:val="right"/>
      <w:pPr>
        <w:ind w:left="6390" w:hanging="180"/>
      </w:pPr>
    </w:lvl>
  </w:abstractNum>
  <w:abstractNum w:abstractNumId="1">
    <w:nsid w:val="00000001"/>
    <w:multiLevelType w:val="hybridMultilevel"/>
    <w:tmpl w:val="6E65D7DB"/>
    <w:lvl w:ilvl="0" w:tplc="FFBA10BA">
      <w:start w:val="1"/>
      <w:numFmt w:val="decimal"/>
      <w:lvlText w:val="%1."/>
      <w:lvlJc w:val="left"/>
      <w:pPr>
        <w:ind w:left="720" w:hanging="360"/>
      </w:pPr>
      <w:rPr>
        <w:b/>
        <w:w w:val="100"/>
        <w:sz w:val="20"/>
        <w:szCs w:val="20"/>
        <w:shd w:val="clear" w:color="auto" w:fill="auto"/>
      </w:rPr>
    </w:lvl>
    <w:lvl w:ilvl="1" w:tplc="EDB4BABC">
      <w:start w:val="1"/>
      <w:numFmt w:val="lowerLetter"/>
      <w:lvlText w:val="%2."/>
      <w:lvlJc w:val="left"/>
      <w:pPr>
        <w:ind w:left="1440" w:hanging="360"/>
      </w:pPr>
    </w:lvl>
    <w:lvl w:ilvl="2" w:tplc="3ECA2E5A">
      <w:start w:val="1"/>
      <w:numFmt w:val="lowerRoman"/>
      <w:lvlText w:val="%3."/>
      <w:lvlJc w:val="right"/>
      <w:pPr>
        <w:ind w:left="2160" w:hanging="180"/>
      </w:pPr>
    </w:lvl>
    <w:lvl w:ilvl="3" w:tplc="9CAA9004">
      <w:start w:val="1"/>
      <w:numFmt w:val="decimal"/>
      <w:lvlText w:val="%4."/>
      <w:lvlJc w:val="left"/>
      <w:pPr>
        <w:ind w:left="2880" w:hanging="360"/>
      </w:pPr>
    </w:lvl>
    <w:lvl w:ilvl="4" w:tplc="83CA5E4C">
      <w:start w:val="1"/>
      <w:numFmt w:val="lowerLetter"/>
      <w:lvlText w:val="%5."/>
      <w:lvlJc w:val="left"/>
      <w:pPr>
        <w:ind w:left="3600" w:hanging="360"/>
      </w:pPr>
    </w:lvl>
    <w:lvl w:ilvl="5" w:tplc="03CCEA88">
      <w:start w:val="1"/>
      <w:numFmt w:val="lowerRoman"/>
      <w:lvlText w:val="%6."/>
      <w:lvlJc w:val="right"/>
      <w:pPr>
        <w:ind w:left="4320" w:hanging="180"/>
      </w:pPr>
    </w:lvl>
    <w:lvl w:ilvl="6" w:tplc="111A883E">
      <w:start w:val="1"/>
      <w:numFmt w:val="decimal"/>
      <w:lvlText w:val="%7."/>
      <w:lvlJc w:val="left"/>
      <w:pPr>
        <w:ind w:left="5040" w:hanging="360"/>
      </w:pPr>
    </w:lvl>
    <w:lvl w:ilvl="7" w:tplc="20E67864">
      <w:start w:val="1"/>
      <w:numFmt w:val="lowerLetter"/>
      <w:lvlText w:val="%8."/>
      <w:lvlJc w:val="left"/>
      <w:pPr>
        <w:ind w:left="5760" w:hanging="360"/>
      </w:pPr>
    </w:lvl>
    <w:lvl w:ilvl="8" w:tplc="25208FBC">
      <w:start w:val="1"/>
      <w:numFmt w:val="lowerRoman"/>
      <w:lvlText w:val="%9."/>
      <w:lvlJc w:val="right"/>
      <w:pPr>
        <w:ind w:left="6480" w:hanging="180"/>
      </w:pPr>
    </w:lvl>
  </w:abstractNum>
  <w:abstractNum w:abstractNumId="2">
    <w:nsid w:val="00000002"/>
    <w:multiLevelType w:val="hybridMultilevel"/>
    <w:tmpl w:val="6025A233"/>
    <w:lvl w:ilvl="0" w:tplc="3692D820">
      <w:start w:val="1"/>
      <w:numFmt w:val="decimal"/>
      <w:lvlText w:val="%1."/>
      <w:lvlJc w:val="left"/>
      <w:pPr>
        <w:ind w:left="720" w:hanging="360"/>
      </w:pPr>
      <w:rPr>
        <w:b/>
        <w:w w:val="100"/>
        <w:sz w:val="20"/>
        <w:szCs w:val="20"/>
        <w:shd w:val="clear" w:color="auto" w:fill="auto"/>
      </w:rPr>
    </w:lvl>
    <w:lvl w:ilvl="1" w:tplc="F3B61880">
      <w:start w:val="1"/>
      <w:numFmt w:val="lowerLetter"/>
      <w:lvlText w:val="%2."/>
      <w:lvlJc w:val="left"/>
      <w:pPr>
        <w:ind w:left="1440" w:hanging="360"/>
      </w:pPr>
    </w:lvl>
    <w:lvl w:ilvl="2" w:tplc="5FFE203C">
      <w:start w:val="1"/>
      <w:numFmt w:val="lowerRoman"/>
      <w:lvlText w:val="%3."/>
      <w:lvlJc w:val="right"/>
      <w:pPr>
        <w:ind w:left="2160" w:hanging="180"/>
      </w:pPr>
    </w:lvl>
    <w:lvl w:ilvl="3" w:tplc="0B6227BC">
      <w:start w:val="1"/>
      <w:numFmt w:val="decimal"/>
      <w:lvlText w:val="%4."/>
      <w:lvlJc w:val="left"/>
      <w:pPr>
        <w:ind w:left="2880" w:hanging="360"/>
      </w:pPr>
    </w:lvl>
    <w:lvl w:ilvl="4" w:tplc="A730551E">
      <w:start w:val="1"/>
      <w:numFmt w:val="lowerLetter"/>
      <w:lvlText w:val="%5."/>
      <w:lvlJc w:val="left"/>
      <w:pPr>
        <w:ind w:left="3600" w:hanging="360"/>
      </w:pPr>
    </w:lvl>
    <w:lvl w:ilvl="5" w:tplc="C4602DD4">
      <w:start w:val="1"/>
      <w:numFmt w:val="lowerRoman"/>
      <w:lvlText w:val="%6."/>
      <w:lvlJc w:val="right"/>
      <w:pPr>
        <w:ind w:left="4320" w:hanging="180"/>
      </w:pPr>
    </w:lvl>
    <w:lvl w:ilvl="6" w:tplc="87F89DA0">
      <w:start w:val="1"/>
      <w:numFmt w:val="decimal"/>
      <w:lvlText w:val="%7."/>
      <w:lvlJc w:val="left"/>
      <w:pPr>
        <w:ind w:left="5040" w:hanging="360"/>
      </w:pPr>
    </w:lvl>
    <w:lvl w:ilvl="7" w:tplc="AFF0FB2C">
      <w:start w:val="1"/>
      <w:numFmt w:val="lowerLetter"/>
      <w:lvlText w:val="%8."/>
      <w:lvlJc w:val="left"/>
      <w:pPr>
        <w:ind w:left="5760" w:hanging="360"/>
      </w:pPr>
    </w:lvl>
    <w:lvl w:ilvl="8" w:tplc="4CD28CF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F66F24"/>
    <w:rsid w:val="00007BB2"/>
    <w:rsid w:val="0002713A"/>
    <w:rsid w:val="001A6F97"/>
    <w:rsid w:val="00397C34"/>
    <w:rsid w:val="005D2874"/>
    <w:rsid w:val="00640ABB"/>
    <w:rsid w:val="007236DD"/>
    <w:rsid w:val="008A6787"/>
    <w:rsid w:val="008D2CEA"/>
    <w:rsid w:val="00984FA6"/>
    <w:rsid w:val="009F4AD2"/>
    <w:rsid w:val="00A104DF"/>
    <w:rsid w:val="00B27043"/>
    <w:rsid w:val="00B94B62"/>
    <w:rsid w:val="00CB1287"/>
    <w:rsid w:val="00CC24CB"/>
    <w:rsid w:val="00CF2F44"/>
    <w:rsid w:val="00D743FB"/>
    <w:rsid w:val="00D815D8"/>
    <w:rsid w:val="00E53001"/>
    <w:rsid w:val="00E914B1"/>
    <w:rsid w:val="00F66F2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rFonts w:eastAsia="Times New Roman"/>
      <w:sz w:val="20"/>
      <w:szCs w:val="20"/>
    </w:rPr>
  </w:style>
  <w:style w:type="paragraph" w:styleId="ListParagraph">
    <w:name w:val="List Paragraph"/>
    <w:basedOn w:val="Normal"/>
    <w:uiPriority w:val="26"/>
    <w:qFormat/>
    <w:pPr>
      <w:ind w:left="7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Calibri" w:eastAsia="Calibri" w:hAnsi="Calibri"/>
      <w:w w:val="100"/>
      <w:sz w:val="20"/>
      <w:szCs w:val="20"/>
      <w:shd w:val="clear" w:color="auto" w:fill="auto"/>
    </w:rPr>
  </w:style>
  <w:style w:type="character" w:styleId="PageNumber">
    <w:name w:val="page number"/>
    <w:basedOn w:val="DefaultParagraphFont"/>
  </w:style>
  <w:style w:type="character" w:styleId="Hyperlink">
    <w:name w:val="Hyperlink"/>
    <w:basedOn w:val="DefaultParagraphFont"/>
    <w:unhideWhenUsed/>
    <w:rPr>
      <w:color w:val="0000FF"/>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Header">
    <w:name w:val="header"/>
    <w:basedOn w:val="Normal"/>
    <w:link w:val="HeaderChar"/>
    <w:uiPriority w:val="99"/>
    <w:unhideWhenUsed/>
    <w:rsid w:val="00E914B1"/>
    <w:pPr>
      <w:tabs>
        <w:tab w:val="center" w:pos="4680"/>
        <w:tab w:val="right" w:pos="9360"/>
      </w:tabs>
    </w:pPr>
  </w:style>
  <w:style w:type="character" w:customStyle="1" w:styleId="HeaderChar">
    <w:name w:val="Header Char"/>
    <w:basedOn w:val="DefaultParagraphFont"/>
    <w:link w:val="Header"/>
    <w:uiPriority w:val="99"/>
    <w:rsid w:val="00E914B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rFonts w:eastAsia="Times New Roman"/>
      <w:sz w:val="20"/>
      <w:szCs w:val="20"/>
    </w:rPr>
  </w:style>
  <w:style w:type="paragraph" w:styleId="ListParagraph">
    <w:name w:val="List Paragraph"/>
    <w:basedOn w:val="Normal"/>
    <w:uiPriority w:val="26"/>
    <w:qFormat/>
    <w:pPr>
      <w:ind w:left="7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Calibri" w:eastAsia="Calibri" w:hAnsi="Calibri"/>
      <w:w w:val="100"/>
      <w:sz w:val="20"/>
      <w:szCs w:val="20"/>
      <w:shd w:val="clear" w:color="auto" w:fill="auto"/>
    </w:rPr>
  </w:style>
  <w:style w:type="character" w:styleId="PageNumber">
    <w:name w:val="page number"/>
    <w:basedOn w:val="DefaultParagraphFont"/>
  </w:style>
  <w:style w:type="character" w:styleId="Hyperlink">
    <w:name w:val="Hyperlink"/>
    <w:basedOn w:val="DefaultParagraphFont"/>
    <w:unhideWhenUsed/>
    <w:rPr>
      <w:color w:val="0000FF"/>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Header">
    <w:name w:val="header"/>
    <w:basedOn w:val="Normal"/>
    <w:link w:val="HeaderChar"/>
    <w:uiPriority w:val="99"/>
    <w:unhideWhenUsed/>
    <w:rsid w:val="00E914B1"/>
    <w:pPr>
      <w:tabs>
        <w:tab w:val="center" w:pos="4680"/>
        <w:tab w:val="right" w:pos="9360"/>
      </w:tabs>
    </w:pPr>
  </w:style>
  <w:style w:type="character" w:customStyle="1" w:styleId="HeaderChar">
    <w:name w:val="Header Char"/>
    <w:basedOn w:val="DefaultParagraphFont"/>
    <w:link w:val="Header"/>
    <w:uiPriority w:val="99"/>
    <w:rsid w:val="00E914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2782</Words>
  <Characters>15864</Characters>
  <Application>Microsoft Office Word</Application>
  <DocSecurity>0</DocSecurity>
  <Lines>132</Lines>
  <Paragraphs>37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21</cp:revision>
  <dcterms:created xsi:type="dcterms:W3CDTF">2018-03-03T04:27:00Z</dcterms:created>
  <dcterms:modified xsi:type="dcterms:W3CDTF">2018-03-03T04:58:00Z</dcterms:modified>
</cp:coreProperties>
</file>